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F32D4" w:rsidR="00014566" w:rsidP="001F32D4" w:rsidRDefault="00014566">
      <w:pPr>
        <w:pStyle w:val="ECHRDecisionBody"/>
      </w:pPr>
    </w:p>
    <w:p w:rsidRPr="001F32D4" w:rsidR="001143E3" w:rsidP="001F32D4" w:rsidRDefault="001143E3">
      <w:pPr>
        <w:pStyle w:val="ECHRDecisionBody"/>
      </w:pPr>
    </w:p>
    <w:p w:rsidRPr="001F32D4" w:rsidR="001143E3" w:rsidP="001F32D4" w:rsidRDefault="001143E3">
      <w:pPr>
        <w:pStyle w:val="JuCase"/>
        <w:jc w:val="center"/>
      </w:pPr>
    </w:p>
    <w:p w:rsidRPr="001F32D4" w:rsidR="00014566" w:rsidP="001F32D4" w:rsidRDefault="00FD03DD">
      <w:pPr>
        <w:pStyle w:val="JuCase"/>
        <w:jc w:val="center"/>
        <w:rPr>
          <w:b w:val="0"/>
        </w:rPr>
      </w:pPr>
      <w:r w:rsidRPr="001F32D4">
        <w:rPr>
          <w:b w:val="0"/>
        </w:rPr>
        <w:t>THIRD SECTION</w:t>
      </w:r>
    </w:p>
    <w:p w:rsidRPr="001F32D4" w:rsidR="00014566" w:rsidP="001F32D4" w:rsidRDefault="00014566">
      <w:pPr>
        <w:pStyle w:val="JuCase"/>
        <w:jc w:val="center"/>
        <w:rPr>
          <w:b w:val="0"/>
        </w:rPr>
      </w:pPr>
    </w:p>
    <w:p w:rsidRPr="001F32D4" w:rsidR="001143E3" w:rsidP="001F32D4" w:rsidRDefault="001143E3">
      <w:pPr>
        <w:pStyle w:val="JuCase"/>
        <w:jc w:val="center"/>
        <w:rPr>
          <w:b w:val="0"/>
        </w:rPr>
      </w:pPr>
    </w:p>
    <w:p w:rsidRPr="001F32D4" w:rsidR="001143E3" w:rsidP="001F32D4" w:rsidRDefault="001143E3">
      <w:pPr>
        <w:pStyle w:val="JuCase"/>
        <w:jc w:val="center"/>
        <w:rPr>
          <w:b w:val="0"/>
        </w:rPr>
      </w:pPr>
    </w:p>
    <w:p w:rsidRPr="001F32D4" w:rsidR="001143E3" w:rsidP="001F32D4" w:rsidRDefault="001143E3">
      <w:pPr>
        <w:pStyle w:val="JuCase"/>
        <w:jc w:val="center"/>
        <w:rPr>
          <w:b w:val="0"/>
        </w:rPr>
      </w:pPr>
    </w:p>
    <w:p w:rsidRPr="001F32D4" w:rsidR="0011633F" w:rsidP="001F32D4" w:rsidRDefault="0011633F">
      <w:pPr>
        <w:pStyle w:val="ECHRPara"/>
        <w:jc w:val="center"/>
      </w:pPr>
    </w:p>
    <w:p w:rsidRPr="001F32D4" w:rsidR="0011633F" w:rsidP="001F32D4" w:rsidRDefault="0011633F">
      <w:pPr>
        <w:pStyle w:val="ECHRPara"/>
        <w:jc w:val="center"/>
      </w:pPr>
    </w:p>
    <w:p w:rsidRPr="001F32D4" w:rsidR="001143E3" w:rsidP="001F32D4" w:rsidRDefault="001143E3">
      <w:pPr>
        <w:pStyle w:val="JuCase"/>
        <w:jc w:val="center"/>
        <w:rPr>
          <w:b w:val="0"/>
        </w:rPr>
      </w:pPr>
    </w:p>
    <w:p w:rsidRPr="001F32D4" w:rsidR="001143E3" w:rsidP="001F32D4" w:rsidRDefault="001143E3">
      <w:pPr>
        <w:pStyle w:val="JuCase"/>
        <w:jc w:val="center"/>
        <w:rPr>
          <w:b w:val="0"/>
        </w:rPr>
      </w:pPr>
    </w:p>
    <w:p w:rsidRPr="001F32D4" w:rsidR="00014566" w:rsidP="001F32D4" w:rsidRDefault="00014566">
      <w:pPr>
        <w:pStyle w:val="JuCase"/>
        <w:jc w:val="center"/>
      </w:pPr>
      <w:bookmarkStart w:name="To" w:id="0"/>
      <w:r w:rsidRPr="001F32D4">
        <w:t xml:space="preserve">CASE OF </w:t>
      </w:r>
      <w:bookmarkEnd w:id="0"/>
      <w:r w:rsidRPr="001F32D4" w:rsidR="00FD03DD">
        <w:t>VOLOKITIN AND OTHERS v. RUSSIA</w:t>
      </w:r>
    </w:p>
    <w:p w:rsidRPr="001F32D4" w:rsidR="00014566" w:rsidP="001F32D4" w:rsidRDefault="00014566">
      <w:pPr>
        <w:pStyle w:val="JuCase"/>
        <w:jc w:val="center"/>
      </w:pPr>
    </w:p>
    <w:p w:rsidRPr="001F32D4" w:rsidR="00014566" w:rsidP="001F32D4" w:rsidRDefault="00014566">
      <w:pPr>
        <w:pStyle w:val="JuCase"/>
        <w:jc w:val="center"/>
        <w:rPr>
          <w:b w:val="0"/>
          <w:i/>
        </w:rPr>
      </w:pPr>
      <w:r w:rsidRPr="001F32D4">
        <w:rPr>
          <w:b w:val="0"/>
          <w:i/>
        </w:rPr>
        <w:t>(</w:t>
      </w:r>
      <w:r w:rsidRPr="001F32D4" w:rsidR="00FD03DD">
        <w:rPr>
          <w:b w:val="0"/>
          <w:i/>
        </w:rPr>
        <w:t>Application</w:t>
      </w:r>
      <w:r w:rsidRPr="001F32D4" w:rsidR="0025231C">
        <w:rPr>
          <w:b w:val="0"/>
          <w:i/>
        </w:rPr>
        <w:t>s</w:t>
      </w:r>
      <w:r w:rsidRPr="001F32D4" w:rsidR="00FD03DD">
        <w:rPr>
          <w:b w:val="0"/>
          <w:i/>
        </w:rPr>
        <w:t xml:space="preserve"> no</w:t>
      </w:r>
      <w:r w:rsidRPr="001F32D4" w:rsidR="0025231C">
        <w:rPr>
          <w:b w:val="0"/>
          <w:i/>
        </w:rPr>
        <w:t>s</w:t>
      </w:r>
      <w:r w:rsidRPr="001F32D4" w:rsidR="00FD03DD">
        <w:rPr>
          <w:b w:val="0"/>
          <w:i/>
        </w:rPr>
        <w:t xml:space="preserve">. 74087/10 and 13 others – see </w:t>
      </w:r>
      <w:r w:rsidRPr="001F32D4" w:rsidR="009B797B">
        <w:rPr>
          <w:b w:val="0"/>
          <w:i/>
        </w:rPr>
        <w:t>a</w:t>
      </w:r>
      <w:r w:rsidRPr="001F32D4" w:rsidR="00FD03DD">
        <w:rPr>
          <w:b w:val="0"/>
          <w:i/>
        </w:rPr>
        <w:t>ppend</w:t>
      </w:r>
      <w:r w:rsidRPr="001F32D4" w:rsidR="009B797B">
        <w:rPr>
          <w:b w:val="0"/>
          <w:i/>
        </w:rPr>
        <w:t>ed list</w:t>
      </w:r>
      <w:r w:rsidRPr="001F32D4">
        <w:rPr>
          <w:b w:val="0"/>
          <w:i/>
        </w:rPr>
        <w:t>)</w:t>
      </w:r>
    </w:p>
    <w:p w:rsidRPr="001F32D4" w:rsidR="00014566" w:rsidP="001F32D4" w:rsidRDefault="00014566">
      <w:pPr>
        <w:pStyle w:val="JuCase"/>
        <w:jc w:val="center"/>
        <w:rPr>
          <w:b w:val="0"/>
        </w:rPr>
      </w:pPr>
    </w:p>
    <w:p w:rsidRPr="001F32D4" w:rsidR="00014566" w:rsidP="001F32D4" w:rsidRDefault="00014566">
      <w:pPr>
        <w:pStyle w:val="JuCase"/>
        <w:jc w:val="center"/>
        <w:rPr>
          <w:b w:val="0"/>
        </w:rPr>
      </w:pPr>
    </w:p>
    <w:p w:rsidRPr="001F32D4" w:rsidR="00014566" w:rsidP="001F32D4" w:rsidRDefault="00014566">
      <w:pPr>
        <w:pStyle w:val="JuCase"/>
        <w:jc w:val="center"/>
        <w:rPr>
          <w:b w:val="0"/>
        </w:rPr>
      </w:pPr>
    </w:p>
    <w:p w:rsidRPr="001F32D4" w:rsidR="00014566" w:rsidP="001F32D4" w:rsidRDefault="00014566">
      <w:pPr>
        <w:pStyle w:val="JuCase"/>
        <w:jc w:val="center"/>
        <w:rPr>
          <w:b w:val="0"/>
        </w:rPr>
      </w:pPr>
    </w:p>
    <w:p w:rsidRPr="001F32D4" w:rsidR="001143E3" w:rsidP="001F32D4" w:rsidRDefault="001143E3">
      <w:pPr>
        <w:pStyle w:val="JuCase"/>
        <w:jc w:val="center"/>
        <w:rPr>
          <w:b w:val="0"/>
        </w:rPr>
      </w:pPr>
    </w:p>
    <w:p w:rsidRPr="001F32D4" w:rsidR="001143E3" w:rsidP="001F32D4" w:rsidRDefault="001143E3">
      <w:pPr>
        <w:pStyle w:val="JuCase"/>
        <w:jc w:val="center"/>
        <w:rPr>
          <w:b w:val="0"/>
        </w:rPr>
      </w:pPr>
    </w:p>
    <w:p w:rsidRPr="001F32D4" w:rsidR="00014566" w:rsidP="001F32D4" w:rsidRDefault="00014566">
      <w:pPr>
        <w:pStyle w:val="JuCase"/>
        <w:jc w:val="center"/>
        <w:rPr>
          <w:b w:val="0"/>
        </w:rPr>
      </w:pPr>
    </w:p>
    <w:p w:rsidRPr="001F32D4" w:rsidR="00014566" w:rsidP="001F32D4" w:rsidRDefault="00014566">
      <w:pPr>
        <w:pStyle w:val="JuCase"/>
        <w:jc w:val="center"/>
        <w:rPr>
          <w:b w:val="0"/>
        </w:rPr>
      </w:pPr>
    </w:p>
    <w:p w:rsidRPr="001F32D4" w:rsidR="00FF1958" w:rsidP="001F32D4" w:rsidRDefault="001143E3">
      <w:pPr>
        <w:pStyle w:val="JuCase"/>
        <w:jc w:val="center"/>
        <w:rPr>
          <w:b w:val="0"/>
        </w:rPr>
      </w:pPr>
      <w:r w:rsidRPr="001F32D4">
        <w:rPr>
          <w:b w:val="0"/>
        </w:rPr>
        <w:t>JUDGMENT</w:t>
      </w:r>
    </w:p>
    <w:p w:rsidRPr="001F32D4" w:rsidR="00014566" w:rsidP="001F32D4" w:rsidRDefault="00014566">
      <w:pPr>
        <w:pStyle w:val="JuCase"/>
        <w:jc w:val="center"/>
        <w:rPr>
          <w:b w:val="0"/>
          <w:szCs w:val="24"/>
        </w:rPr>
      </w:pPr>
    </w:p>
    <w:p w:rsidRPr="001F32D4" w:rsidR="001143E3" w:rsidP="001F32D4" w:rsidRDefault="001143E3">
      <w:pPr>
        <w:pStyle w:val="JuCase"/>
        <w:jc w:val="center"/>
        <w:rPr>
          <w:b w:val="0"/>
        </w:rPr>
      </w:pPr>
    </w:p>
    <w:p w:rsidRPr="001F32D4" w:rsidR="001143E3" w:rsidP="001F32D4" w:rsidRDefault="001143E3">
      <w:pPr>
        <w:pStyle w:val="JuCase"/>
        <w:jc w:val="center"/>
        <w:rPr>
          <w:b w:val="0"/>
        </w:rPr>
      </w:pPr>
      <w:r w:rsidRPr="001F32D4">
        <w:rPr>
          <w:b w:val="0"/>
        </w:rPr>
        <w:t>STRASBOURG</w:t>
      </w:r>
    </w:p>
    <w:p w:rsidRPr="001F32D4" w:rsidR="001143E3" w:rsidP="001F32D4" w:rsidRDefault="001143E3">
      <w:pPr>
        <w:pStyle w:val="JuCase"/>
        <w:jc w:val="center"/>
        <w:rPr>
          <w:b w:val="0"/>
        </w:rPr>
      </w:pPr>
    </w:p>
    <w:p w:rsidRPr="001F32D4" w:rsidR="001143E3" w:rsidP="001F32D4" w:rsidRDefault="001143E3">
      <w:pPr>
        <w:pStyle w:val="JuCase"/>
        <w:jc w:val="center"/>
        <w:rPr>
          <w:b w:val="0"/>
        </w:rPr>
      </w:pPr>
      <w:r w:rsidRPr="001F32D4">
        <w:rPr>
          <w:b w:val="0"/>
        </w:rPr>
        <w:t>3 July 2018</w:t>
      </w:r>
    </w:p>
    <w:p w:rsidRPr="001F32D4" w:rsidR="001143E3" w:rsidP="001F32D4" w:rsidRDefault="001143E3">
      <w:pPr>
        <w:pStyle w:val="JuCase"/>
        <w:jc w:val="center"/>
        <w:rPr>
          <w:b w:val="0"/>
        </w:rPr>
      </w:pPr>
    </w:p>
    <w:p w:rsidRPr="001F32D4" w:rsidR="001143E3" w:rsidP="001F32D4" w:rsidRDefault="001143E3">
      <w:pPr>
        <w:pStyle w:val="JuCase"/>
        <w:jc w:val="center"/>
        <w:rPr>
          <w:b w:val="0"/>
        </w:rPr>
      </w:pPr>
    </w:p>
    <w:p w:rsidRPr="001F32D4" w:rsidR="0011633F" w:rsidP="001F32D4" w:rsidRDefault="0011633F">
      <w:pPr>
        <w:pStyle w:val="ECHRPara"/>
      </w:pPr>
    </w:p>
    <w:p w:rsidRPr="001F32D4" w:rsidR="001143E3" w:rsidP="001F32D4" w:rsidRDefault="001143E3">
      <w:pPr>
        <w:pStyle w:val="JuCase"/>
        <w:jc w:val="center"/>
        <w:rPr>
          <w:b w:val="0"/>
        </w:rPr>
      </w:pPr>
    </w:p>
    <w:p w:rsidRPr="001F32D4" w:rsidR="001143E3" w:rsidP="001F32D4" w:rsidRDefault="001143E3">
      <w:pPr>
        <w:pStyle w:val="JuCase"/>
        <w:ind w:firstLine="0"/>
        <w:jc w:val="center"/>
        <w:rPr>
          <w:b w:val="0"/>
        </w:rPr>
      </w:pPr>
    </w:p>
    <w:p w:rsidRPr="001F32D4" w:rsidR="001143E3" w:rsidP="001F32D4" w:rsidRDefault="001143E3">
      <w:pPr>
        <w:pStyle w:val="JuCase"/>
        <w:ind w:firstLine="0"/>
        <w:rPr>
          <w:b w:val="0"/>
          <w:i/>
          <w:sz w:val="22"/>
        </w:rPr>
      </w:pPr>
      <w:r w:rsidRPr="001F32D4">
        <w:rPr>
          <w:b w:val="0"/>
          <w:i/>
          <w:sz w:val="22"/>
        </w:rPr>
        <w:t>This judgment will become final in the circumstances set out in Article 44 § 2 of the Convention. It may be subject to editorial revision.</w:t>
      </w:r>
    </w:p>
    <w:p w:rsidRPr="001F32D4" w:rsidR="001143E3" w:rsidP="001F32D4" w:rsidRDefault="001143E3">
      <w:pPr>
        <w:pStyle w:val="ECHRPara"/>
      </w:pPr>
    </w:p>
    <w:p w:rsidRPr="001F32D4" w:rsidR="0011633F" w:rsidP="001F32D4" w:rsidRDefault="0011633F">
      <w:pPr>
        <w:pStyle w:val="ECHRPara"/>
        <w:sectPr w:rsidRPr="001F32D4" w:rsidR="0011633F" w:rsidSect="001143E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Pr="001F32D4" w:rsidR="00014566" w:rsidP="001F32D4" w:rsidRDefault="00014566">
      <w:pPr>
        <w:pStyle w:val="JuCase"/>
        <w:rPr>
          <w:bCs/>
        </w:rPr>
      </w:pPr>
      <w:r w:rsidRPr="001F32D4">
        <w:t xml:space="preserve">In the case of </w:t>
      </w:r>
      <w:proofErr w:type="spellStart"/>
      <w:r w:rsidRPr="001F32D4" w:rsidR="00FD03DD">
        <w:t>Volokitin</w:t>
      </w:r>
      <w:proofErr w:type="spellEnd"/>
      <w:r w:rsidRPr="001F32D4" w:rsidR="00FD03DD">
        <w:t xml:space="preserve"> and Others v. Russia</w:t>
      </w:r>
      <w:r w:rsidRPr="001F32D4">
        <w:t>,</w:t>
      </w:r>
    </w:p>
    <w:p w:rsidRPr="001F32D4" w:rsidR="00014566" w:rsidP="001F32D4" w:rsidRDefault="00014566">
      <w:pPr>
        <w:pStyle w:val="ECHRPara"/>
      </w:pPr>
      <w:r w:rsidRPr="001F32D4">
        <w:t>The European Court of Human Rights (</w:t>
      </w:r>
      <w:r w:rsidRPr="001F32D4" w:rsidR="00FD03DD">
        <w:t>Third Section</w:t>
      </w:r>
      <w:r w:rsidRPr="001F32D4">
        <w:t xml:space="preserve">), sitting as a </w:t>
      </w:r>
      <w:r w:rsidRPr="001F32D4" w:rsidR="00FD03DD">
        <w:t>Chamber</w:t>
      </w:r>
      <w:r w:rsidRPr="001F32D4">
        <w:t xml:space="preserve"> composed of:</w:t>
      </w:r>
    </w:p>
    <w:p w:rsidRPr="001F32D4" w:rsidR="00014566" w:rsidP="001F32D4" w:rsidRDefault="005C44CD">
      <w:pPr>
        <w:pStyle w:val="ECHRDecisionBody"/>
      </w:pPr>
      <w:r w:rsidRPr="001F32D4">
        <w:tab/>
        <w:t xml:space="preserve">Helena </w:t>
      </w:r>
      <w:proofErr w:type="spellStart"/>
      <w:r w:rsidRPr="001F32D4">
        <w:t>Jäderblom</w:t>
      </w:r>
      <w:proofErr w:type="spellEnd"/>
      <w:r w:rsidRPr="001F32D4">
        <w:t>,</w:t>
      </w:r>
      <w:r w:rsidRPr="001F32D4">
        <w:rPr>
          <w:i/>
        </w:rPr>
        <w:t xml:space="preserve"> President,</w:t>
      </w:r>
      <w:r w:rsidRPr="001F32D4">
        <w:rPr>
          <w:i/>
        </w:rPr>
        <w:br/>
      </w:r>
      <w:r w:rsidRPr="001F32D4">
        <w:tab/>
      </w:r>
      <w:proofErr w:type="spellStart"/>
      <w:r w:rsidRPr="001F32D4">
        <w:t>Branko</w:t>
      </w:r>
      <w:proofErr w:type="spellEnd"/>
      <w:r w:rsidRPr="001F32D4">
        <w:t xml:space="preserve"> </w:t>
      </w:r>
      <w:proofErr w:type="spellStart"/>
      <w:r w:rsidRPr="001F32D4">
        <w:t>Lubarda</w:t>
      </w:r>
      <w:proofErr w:type="spellEnd"/>
      <w:r w:rsidRPr="001F32D4">
        <w:t>,</w:t>
      </w:r>
      <w:r w:rsidRPr="001F32D4">
        <w:rPr>
          <w:i/>
        </w:rPr>
        <w:br/>
      </w:r>
      <w:r w:rsidRPr="001F32D4">
        <w:tab/>
        <w:t>Helen Keller,</w:t>
      </w:r>
      <w:r w:rsidRPr="001F32D4">
        <w:rPr>
          <w:i/>
        </w:rPr>
        <w:br/>
      </w:r>
      <w:r w:rsidRPr="001F32D4">
        <w:tab/>
        <w:t xml:space="preserve">Dmitry </w:t>
      </w:r>
      <w:proofErr w:type="spellStart"/>
      <w:r w:rsidRPr="001F32D4">
        <w:t>Dedov</w:t>
      </w:r>
      <w:proofErr w:type="spellEnd"/>
      <w:r w:rsidRPr="001F32D4">
        <w:t>,</w:t>
      </w:r>
      <w:r w:rsidRPr="001F32D4">
        <w:rPr>
          <w:i/>
        </w:rPr>
        <w:br/>
      </w:r>
      <w:r w:rsidRPr="001F32D4">
        <w:tab/>
        <w:t xml:space="preserve">Pere Pastor </w:t>
      </w:r>
      <w:proofErr w:type="spellStart"/>
      <w:r w:rsidRPr="001F32D4">
        <w:t>Vilanova</w:t>
      </w:r>
      <w:proofErr w:type="spellEnd"/>
      <w:r w:rsidRPr="001F32D4">
        <w:t>,</w:t>
      </w:r>
      <w:r w:rsidRPr="001F32D4">
        <w:rPr>
          <w:i/>
        </w:rPr>
        <w:br/>
      </w:r>
      <w:r w:rsidRPr="001F32D4">
        <w:tab/>
        <w:t xml:space="preserve">Georgios A. </w:t>
      </w:r>
      <w:proofErr w:type="spellStart"/>
      <w:r w:rsidRPr="001F32D4">
        <w:t>Serghides</w:t>
      </w:r>
      <w:proofErr w:type="spellEnd"/>
      <w:r w:rsidRPr="001F32D4">
        <w:t>,</w:t>
      </w:r>
      <w:r w:rsidRPr="001F32D4">
        <w:rPr>
          <w:i/>
        </w:rPr>
        <w:br/>
      </w:r>
      <w:r w:rsidRPr="001F32D4">
        <w:tab/>
      </w:r>
      <w:proofErr w:type="spellStart"/>
      <w:r w:rsidRPr="001F32D4">
        <w:t>Jolien</w:t>
      </w:r>
      <w:proofErr w:type="spellEnd"/>
      <w:r w:rsidRPr="001F32D4">
        <w:t xml:space="preserve"> </w:t>
      </w:r>
      <w:proofErr w:type="spellStart"/>
      <w:r w:rsidRPr="001F32D4">
        <w:t>Schukking</w:t>
      </w:r>
      <w:proofErr w:type="spellEnd"/>
      <w:r w:rsidRPr="001F32D4">
        <w:t>,</w:t>
      </w:r>
      <w:r w:rsidRPr="001F32D4">
        <w:rPr>
          <w:i/>
        </w:rPr>
        <w:t xml:space="preserve"> judges,</w:t>
      </w:r>
      <w:r w:rsidRPr="001F32D4" w:rsidR="00014566">
        <w:rPr>
          <w:szCs w:val="24"/>
        </w:rPr>
        <w:br/>
      </w:r>
      <w:r w:rsidRPr="001F32D4" w:rsidR="00014566">
        <w:t xml:space="preserve">and </w:t>
      </w:r>
      <w:proofErr w:type="spellStart"/>
      <w:r w:rsidRPr="001F32D4">
        <w:t>Fatoş</w:t>
      </w:r>
      <w:proofErr w:type="spellEnd"/>
      <w:r w:rsidRPr="001F32D4">
        <w:t xml:space="preserve"> Aracı</w:t>
      </w:r>
      <w:r w:rsidRPr="001F32D4" w:rsidR="00014566">
        <w:t xml:space="preserve">, </w:t>
      </w:r>
      <w:r w:rsidRPr="001F32D4" w:rsidR="00033459">
        <w:rPr>
          <w:i/>
        </w:rPr>
        <w:t>Deputy</w:t>
      </w:r>
      <w:r w:rsidRPr="001F32D4" w:rsidR="00033459">
        <w:t xml:space="preserve"> </w:t>
      </w:r>
      <w:r w:rsidRPr="001F32D4" w:rsidR="00FD03DD">
        <w:rPr>
          <w:i/>
        </w:rPr>
        <w:t xml:space="preserve">Section </w:t>
      </w:r>
      <w:r w:rsidRPr="001F32D4" w:rsidR="00FD03DD">
        <w:rPr>
          <w:i/>
          <w:iCs/>
        </w:rPr>
        <w:t>Registrar</w:t>
      </w:r>
      <w:r w:rsidRPr="001F32D4" w:rsidR="00014566">
        <w:rPr>
          <w:i/>
        </w:rPr>
        <w:t>,</w:t>
      </w:r>
    </w:p>
    <w:p w:rsidRPr="001F32D4" w:rsidR="00014566" w:rsidP="001F32D4" w:rsidRDefault="00014566">
      <w:pPr>
        <w:pStyle w:val="ECHRPara"/>
      </w:pPr>
      <w:r w:rsidRPr="001F32D4">
        <w:t xml:space="preserve">Having deliberated in private on </w:t>
      </w:r>
      <w:r w:rsidRPr="001F32D4" w:rsidR="005C44CD">
        <w:t>12 June 2018</w:t>
      </w:r>
      <w:r w:rsidRPr="001F32D4">
        <w:t>,</w:t>
      </w:r>
    </w:p>
    <w:p w:rsidRPr="001F32D4" w:rsidR="00014566" w:rsidP="001F32D4" w:rsidRDefault="00014566">
      <w:pPr>
        <w:pStyle w:val="ECHRPara"/>
      </w:pPr>
      <w:r w:rsidRPr="001F32D4">
        <w:t>Delivers the following judgment, which was adopted on that date:</w:t>
      </w:r>
    </w:p>
    <w:p w:rsidRPr="001F32D4" w:rsidR="00014566" w:rsidP="001F32D4" w:rsidRDefault="00014566">
      <w:pPr>
        <w:pStyle w:val="ECHRTitle1"/>
      </w:pPr>
      <w:r w:rsidRPr="001F32D4">
        <w:t>PROCEDURE</w:t>
      </w:r>
    </w:p>
    <w:p w:rsidRPr="001F32D4" w:rsidR="00FD03DD" w:rsidP="001F32D4" w:rsidRDefault="00FD03DD">
      <w:pPr>
        <w:pStyle w:val="ECHRPara"/>
      </w:pPr>
      <w:r w:rsidRPr="001F32D4">
        <w:fldChar w:fldCharType="begin"/>
      </w:r>
      <w:r w:rsidRPr="001F32D4">
        <w:instrText xml:space="preserve"> SEQ level0 \*arabic </w:instrText>
      </w:r>
      <w:r w:rsidRPr="001F32D4">
        <w:fldChar w:fldCharType="separate"/>
      </w:r>
      <w:r w:rsidRPr="001F32D4" w:rsidR="001F32D4">
        <w:rPr>
          <w:noProof/>
        </w:rPr>
        <w:t>1</w:t>
      </w:r>
      <w:r w:rsidRPr="001F32D4">
        <w:fldChar w:fldCharType="end"/>
      </w:r>
      <w:r w:rsidRPr="001F32D4" w:rsidR="00014566">
        <w:t xml:space="preserve">.  The case originated in </w:t>
      </w:r>
      <w:r w:rsidRPr="001F32D4">
        <w:t xml:space="preserve">fourteen applications </w:t>
      </w:r>
      <w:r w:rsidRPr="001F32D4" w:rsidR="00014566">
        <w:t xml:space="preserve">against </w:t>
      </w:r>
      <w:r w:rsidRPr="001F32D4">
        <w:t>the Russian Federation</w:t>
      </w:r>
      <w:r w:rsidRPr="001F32D4" w:rsidR="00014566">
        <w:t xml:space="preserve"> lodged with the </w:t>
      </w:r>
      <w:r w:rsidRPr="001F32D4">
        <w:t>Court under Article 34</w:t>
      </w:r>
      <w:r w:rsidRPr="001F32D4" w:rsidR="00014566">
        <w:t xml:space="preserve"> of the Convention for the Protection of Human Rights and Fundamental Freedoms (“the Convention”) by </w:t>
      </w:r>
      <w:r w:rsidRPr="001F32D4">
        <w:t>fourteen Russian nationals (“the applicants”). The applicants</w:t>
      </w:r>
      <w:r w:rsidRPr="001F32D4" w:rsidR="001F32D4">
        <w:t>’</w:t>
      </w:r>
      <w:r w:rsidRPr="001F32D4">
        <w:t xml:space="preserve"> names, the names of their representatives</w:t>
      </w:r>
      <w:r w:rsidRPr="001F32D4" w:rsidR="00AE5003">
        <w:t xml:space="preserve"> </w:t>
      </w:r>
      <w:r w:rsidRPr="001F32D4" w:rsidR="00650831">
        <w:t>and</w:t>
      </w:r>
      <w:r w:rsidRPr="001F32D4">
        <w:t xml:space="preserve"> the numbers and dates of </w:t>
      </w:r>
      <w:r w:rsidRPr="001F32D4" w:rsidR="00650831">
        <w:t xml:space="preserve">their applications </w:t>
      </w:r>
      <w:r w:rsidRPr="001F32D4">
        <w:t>are set out in the Appendix</w:t>
      </w:r>
      <w:r w:rsidRPr="001F32D4" w:rsidR="00014566">
        <w:t>.</w:t>
      </w:r>
    </w:p>
    <w:p w:rsidRPr="001F32D4" w:rsidR="00FD03DD" w:rsidP="001F32D4" w:rsidRDefault="00FD03DD">
      <w:pPr>
        <w:pStyle w:val="ECHRPara"/>
      </w:pPr>
      <w:r w:rsidRPr="001F32D4">
        <w:fldChar w:fldCharType="begin"/>
      </w:r>
      <w:r w:rsidRPr="001F32D4">
        <w:instrText xml:space="preserve"> SEQ level0 \*arabic </w:instrText>
      </w:r>
      <w:r w:rsidRPr="001F32D4">
        <w:fldChar w:fldCharType="separate"/>
      </w:r>
      <w:r w:rsidRPr="001F32D4" w:rsidR="001F32D4">
        <w:rPr>
          <w:noProof/>
        </w:rPr>
        <w:t>2</w:t>
      </w:r>
      <w:r w:rsidRPr="001F32D4">
        <w:fldChar w:fldCharType="end"/>
      </w:r>
      <w:r w:rsidRPr="001F32D4" w:rsidR="00014566">
        <w:t xml:space="preserve">.  The </w:t>
      </w:r>
      <w:r w:rsidRPr="001F32D4">
        <w:t>Russian</w:t>
      </w:r>
      <w:r w:rsidRPr="001F32D4" w:rsidR="00014566">
        <w:t xml:space="preserve"> Government (“the Government”) were represented </w:t>
      </w:r>
      <w:r w:rsidRPr="001F32D4">
        <w:t xml:space="preserve">initially by Mr G. </w:t>
      </w:r>
      <w:proofErr w:type="spellStart"/>
      <w:r w:rsidRPr="001F32D4">
        <w:t>Matyushkin</w:t>
      </w:r>
      <w:proofErr w:type="spellEnd"/>
      <w:r w:rsidRPr="001F32D4">
        <w:t xml:space="preserve">, Representative of the Russian Federation to the European Court of Human Rights, and then by his successor in that </w:t>
      </w:r>
      <w:r w:rsidRPr="001F32D4" w:rsidR="00F91742">
        <w:t>position</w:t>
      </w:r>
      <w:r w:rsidRPr="001F32D4">
        <w:t xml:space="preserve">, Mr M. </w:t>
      </w:r>
      <w:proofErr w:type="spellStart"/>
      <w:r w:rsidRPr="001F32D4">
        <w:t>Galperin</w:t>
      </w:r>
      <w:proofErr w:type="spellEnd"/>
      <w:r w:rsidRPr="001F32D4" w:rsidR="00014566">
        <w:t>.</w:t>
      </w:r>
    </w:p>
    <w:p w:rsidRPr="001F32D4" w:rsidR="001143E3" w:rsidP="001F32D4" w:rsidRDefault="00FD03DD">
      <w:pPr>
        <w:pStyle w:val="ECHRPara"/>
      </w:pPr>
      <w:r w:rsidRPr="001F32D4">
        <w:fldChar w:fldCharType="begin"/>
      </w:r>
      <w:r w:rsidRPr="001F32D4">
        <w:instrText xml:space="preserve"> SEQ level0 \*arabic </w:instrText>
      </w:r>
      <w:r w:rsidRPr="001F32D4">
        <w:fldChar w:fldCharType="separate"/>
      </w:r>
      <w:r w:rsidRPr="001F32D4" w:rsidR="001F32D4">
        <w:rPr>
          <w:noProof/>
        </w:rPr>
        <w:t>3</w:t>
      </w:r>
      <w:r w:rsidRPr="001F32D4">
        <w:fldChar w:fldCharType="end"/>
      </w:r>
      <w:r w:rsidRPr="001F32D4">
        <w:t xml:space="preserve">.  The applicants </w:t>
      </w:r>
      <w:r w:rsidRPr="001F32D4" w:rsidR="003763C3">
        <w:t>complained about the Russian State</w:t>
      </w:r>
      <w:r w:rsidRPr="001F32D4" w:rsidR="001F32D4">
        <w:t>’</w:t>
      </w:r>
      <w:r w:rsidRPr="001F32D4" w:rsidR="003763C3">
        <w:t xml:space="preserve">s </w:t>
      </w:r>
      <w:r w:rsidRPr="001F32D4" w:rsidR="00701A9D">
        <w:t>continued</w:t>
      </w:r>
      <w:r w:rsidRPr="001F32D4" w:rsidR="003763C3">
        <w:t xml:space="preserve"> failure to determine the conditions </w:t>
      </w:r>
      <w:r w:rsidRPr="001F32D4" w:rsidR="008B2985">
        <w:t>and</w:t>
      </w:r>
      <w:r w:rsidRPr="001F32D4" w:rsidR="003763C3">
        <w:t xml:space="preserve"> procedure for </w:t>
      </w:r>
      <w:r w:rsidRPr="001F32D4" w:rsidR="008B2985">
        <w:t>implementation of their entitlement to obtain some form of compensation for, or redemption of, the</w:t>
      </w:r>
      <w:r w:rsidRPr="001F32D4" w:rsidR="00A43C33">
        <w:t>ir</w:t>
      </w:r>
      <w:r w:rsidRPr="001F32D4" w:rsidR="008B2985">
        <w:t xml:space="preserve"> 1982 </w:t>
      </w:r>
      <w:r w:rsidRPr="001F32D4" w:rsidR="00A43C33">
        <w:t xml:space="preserve">premium </w:t>
      </w:r>
      <w:r w:rsidRPr="001F32D4" w:rsidR="008B2985">
        <w:t>bonds</w:t>
      </w:r>
      <w:r w:rsidRPr="001F32D4" w:rsidR="00C44F14">
        <w:t>,</w:t>
      </w:r>
      <w:r w:rsidRPr="001F32D4" w:rsidR="003763C3">
        <w:t xml:space="preserve"> which had been recognised as internal State debt.</w:t>
      </w:r>
    </w:p>
    <w:p w:rsidRPr="001F32D4" w:rsidR="00014566" w:rsidP="001F32D4" w:rsidRDefault="00FD03DD">
      <w:pPr>
        <w:pStyle w:val="ECHRPara"/>
      </w:pPr>
      <w:r w:rsidRPr="001F32D4">
        <w:fldChar w:fldCharType="begin"/>
      </w:r>
      <w:r w:rsidRPr="001F32D4">
        <w:instrText xml:space="preserve"> SEQ level0 \*arabic </w:instrText>
      </w:r>
      <w:r w:rsidRPr="001F32D4">
        <w:fldChar w:fldCharType="separate"/>
      </w:r>
      <w:r w:rsidRPr="001F32D4" w:rsidR="001F32D4">
        <w:rPr>
          <w:noProof/>
        </w:rPr>
        <w:t>4</w:t>
      </w:r>
      <w:r w:rsidRPr="001F32D4">
        <w:fldChar w:fldCharType="end"/>
      </w:r>
      <w:r w:rsidRPr="001F32D4" w:rsidR="00014566">
        <w:t>.  </w:t>
      </w:r>
      <w:r w:rsidRPr="001F32D4">
        <w:t xml:space="preserve">On </w:t>
      </w:r>
      <w:r w:rsidRPr="001F32D4" w:rsidR="006F27C1">
        <w:t xml:space="preserve">27 August 2013, 13 February 2014 and </w:t>
      </w:r>
      <w:r w:rsidRPr="001F32D4" w:rsidR="003763C3">
        <w:t xml:space="preserve">5 April 2017 the above </w:t>
      </w:r>
      <w:r w:rsidRPr="001F32D4">
        <w:rPr>
          <w:rFonts w:ascii="Times New Roman" w:hAnsi="Times New Roman" w:eastAsia="Times New Roman" w:cs="Times New Roman"/>
        </w:rPr>
        <w:t>complaint was communicated to the Government and the remainder of application</w:t>
      </w:r>
      <w:r w:rsidRPr="001F32D4" w:rsidR="003763C3">
        <w:rPr>
          <w:rFonts w:ascii="Times New Roman" w:hAnsi="Times New Roman" w:eastAsia="Times New Roman" w:cs="Times New Roman"/>
        </w:rPr>
        <w:t>s</w:t>
      </w:r>
      <w:r w:rsidRPr="001F32D4">
        <w:rPr>
          <w:rFonts w:ascii="Times New Roman" w:hAnsi="Times New Roman" w:eastAsia="Times New Roman" w:cs="Times New Roman"/>
        </w:rPr>
        <w:t xml:space="preserve"> no</w:t>
      </w:r>
      <w:r w:rsidRPr="001F32D4" w:rsidR="003763C3">
        <w:rPr>
          <w:rFonts w:ascii="Times New Roman" w:hAnsi="Times New Roman" w:eastAsia="Times New Roman" w:cs="Times New Roman"/>
        </w:rPr>
        <w:t>s</w:t>
      </w:r>
      <w:r w:rsidRPr="001F32D4">
        <w:rPr>
          <w:rFonts w:ascii="Times New Roman" w:hAnsi="Times New Roman" w:eastAsia="Times New Roman" w:cs="Times New Roman"/>
        </w:rPr>
        <w:t>.</w:t>
      </w:r>
      <w:r w:rsidRPr="001F32D4" w:rsidR="003763C3">
        <w:rPr>
          <w:rFonts w:ascii="Times New Roman" w:hAnsi="Times New Roman" w:eastAsia="Times New Roman" w:cs="Times New Roman"/>
        </w:rPr>
        <w:t> </w:t>
      </w:r>
      <w:r w:rsidRPr="001F32D4" w:rsidR="003763C3">
        <w:t>15410/11, 53719/13, 1026/14, 28411/14</w:t>
      </w:r>
      <w:r w:rsidRPr="001F32D4" w:rsidR="000F5DBB">
        <w:t xml:space="preserve"> and</w:t>
      </w:r>
      <w:r w:rsidRPr="001F32D4" w:rsidR="003763C3">
        <w:t xml:space="preserve"> 27904/15 </w:t>
      </w:r>
      <w:r w:rsidRPr="001F32D4">
        <w:rPr>
          <w:rFonts w:ascii="Times New Roman" w:hAnsi="Times New Roman" w:eastAsia="Times New Roman" w:cs="Times New Roman"/>
        </w:rPr>
        <w:t>was declared inadmissible</w:t>
      </w:r>
      <w:r w:rsidRPr="001F32D4">
        <w:t xml:space="preserve"> pursuant to Rule 54 § 3 of the Rules of Court</w:t>
      </w:r>
      <w:r w:rsidRPr="001F32D4" w:rsidR="007509D5">
        <w:t>.</w:t>
      </w:r>
    </w:p>
    <w:p w:rsidRPr="001F32D4" w:rsidR="003763C3" w:rsidP="001F32D4" w:rsidRDefault="003763C3">
      <w:pPr>
        <w:pStyle w:val="ECHRPara"/>
      </w:pPr>
      <w:r w:rsidRPr="001F32D4">
        <w:fldChar w:fldCharType="begin"/>
      </w:r>
      <w:r w:rsidRPr="001F32D4">
        <w:instrText xml:space="preserve"> SEQ level0 \*arabic </w:instrText>
      </w:r>
      <w:r w:rsidRPr="001F32D4">
        <w:fldChar w:fldCharType="separate"/>
      </w:r>
      <w:r w:rsidRPr="001F32D4" w:rsidR="001F32D4">
        <w:rPr>
          <w:noProof/>
        </w:rPr>
        <w:t>5</w:t>
      </w:r>
      <w:r w:rsidRPr="001F32D4">
        <w:fldChar w:fldCharType="end"/>
      </w:r>
      <w:r w:rsidRPr="001F32D4">
        <w:t xml:space="preserve">.  On 10 April 2017 the Court requested additional factual information from the applicants in cases </w:t>
      </w:r>
      <w:r w:rsidRPr="001F32D4">
        <w:rPr>
          <w:szCs w:val="24"/>
        </w:rPr>
        <w:t xml:space="preserve">nos. </w:t>
      </w:r>
      <w:r w:rsidRPr="001F32D4" w:rsidR="000F5DBB">
        <w:rPr>
          <w:szCs w:val="24"/>
        </w:rPr>
        <w:t>5359/13 and</w:t>
      </w:r>
      <w:r w:rsidRPr="001F32D4" w:rsidR="000F5DBB">
        <w:t xml:space="preserve"> </w:t>
      </w:r>
      <w:r w:rsidRPr="001F32D4">
        <w:t>53719/13.</w:t>
      </w:r>
    </w:p>
    <w:p w:rsidRPr="001F32D4" w:rsidR="00014566" w:rsidP="001F32D4" w:rsidRDefault="00014566">
      <w:pPr>
        <w:pStyle w:val="ECHRTitle1"/>
      </w:pPr>
      <w:r w:rsidRPr="001F32D4">
        <w:t>THE FACTS</w:t>
      </w:r>
    </w:p>
    <w:p w:rsidRPr="001F32D4" w:rsidR="00014566" w:rsidP="001F32D4" w:rsidRDefault="00014566">
      <w:pPr>
        <w:pStyle w:val="ECHRHeading1"/>
      </w:pPr>
      <w:r w:rsidRPr="001F32D4">
        <w:t>THE CIRCUMSTANCES OF THE CASE</w:t>
      </w:r>
    </w:p>
    <w:bookmarkStart w:name="res30dec1980" w:id="1"/>
    <w:p w:rsidRPr="001F32D4" w:rsidR="001143E3" w:rsidP="001F32D4" w:rsidRDefault="004B3DAA">
      <w:pPr>
        <w:pStyle w:val="ECHRPara"/>
      </w:pPr>
      <w:r w:rsidRPr="001F32D4">
        <w:fldChar w:fldCharType="begin"/>
      </w:r>
      <w:r w:rsidRPr="001F32D4">
        <w:instrText xml:space="preserve"> SEQ level0 \*arabic </w:instrText>
      </w:r>
      <w:r w:rsidRPr="001F32D4">
        <w:fldChar w:fldCharType="separate"/>
      </w:r>
      <w:r w:rsidRPr="001F32D4" w:rsidR="001F32D4">
        <w:rPr>
          <w:noProof/>
        </w:rPr>
        <w:t>6</w:t>
      </w:r>
      <w:r w:rsidRPr="001F32D4">
        <w:fldChar w:fldCharType="end"/>
      </w:r>
      <w:bookmarkEnd w:id="1"/>
      <w:r w:rsidRPr="001F32D4">
        <w:t xml:space="preserve">.  The cases concern the 1982 State </w:t>
      </w:r>
      <w:r w:rsidRPr="001F32D4" w:rsidR="00827885">
        <w:t xml:space="preserve">internal </w:t>
      </w:r>
      <w:r w:rsidRPr="001F32D4">
        <w:t>premium loan bonds (</w:t>
      </w:r>
      <w:proofErr w:type="spellStart"/>
      <w:r w:rsidRPr="001F32D4">
        <w:rPr>
          <w:i/>
        </w:rPr>
        <w:t>облигации</w:t>
      </w:r>
      <w:proofErr w:type="spellEnd"/>
      <w:r w:rsidRPr="001F32D4">
        <w:rPr>
          <w:i/>
        </w:rPr>
        <w:t xml:space="preserve"> </w:t>
      </w:r>
      <w:proofErr w:type="spellStart"/>
      <w:r w:rsidRPr="001F32D4">
        <w:rPr>
          <w:i/>
        </w:rPr>
        <w:t>государственного</w:t>
      </w:r>
      <w:proofErr w:type="spellEnd"/>
      <w:r w:rsidRPr="001F32D4">
        <w:rPr>
          <w:i/>
        </w:rPr>
        <w:t xml:space="preserve"> </w:t>
      </w:r>
      <w:proofErr w:type="spellStart"/>
      <w:r w:rsidRPr="001F32D4">
        <w:rPr>
          <w:i/>
        </w:rPr>
        <w:t>внутреннего</w:t>
      </w:r>
      <w:proofErr w:type="spellEnd"/>
      <w:r w:rsidRPr="001F32D4">
        <w:rPr>
          <w:i/>
        </w:rPr>
        <w:t xml:space="preserve"> </w:t>
      </w:r>
      <w:proofErr w:type="spellStart"/>
      <w:r w:rsidRPr="001F32D4">
        <w:rPr>
          <w:i/>
        </w:rPr>
        <w:t>выигрышного</w:t>
      </w:r>
      <w:proofErr w:type="spellEnd"/>
      <w:r w:rsidRPr="001F32D4">
        <w:rPr>
          <w:i/>
        </w:rPr>
        <w:t xml:space="preserve"> </w:t>
      </w:r>
      <w:proofErr w:type="spellStart"/>
      <w:r w:rsidRPr="001F32D4">
        <w:rPr>
          <w:i/>
        </w:rPr>
        <w:t>займа</w:t>
      </w:r>
      <w:proofErr w:type="spellEnd"/>
      <w:r w:rsidRPr="001F32D4">
        <w:rPr>
          <w:i/>
        </w:rPr>
        <w:t xml:space="preserve"> 1982 </w:t>
      </w:r>
      <w:proofErr w:type="spellStart"/>
      <w:r w:rsidRPr="001F32D4">
        <w:rPr>
          <w:i/>
        </w:rPr>
        <w:t>года</w:t>
      </w:r>
      <w:proofErr w:type="spellEnd"/>
      <w:r w:rsidRPr="001F32D4" w:rsidR="001143E3">
        <w:rPr>
          <w:i/>
        </w:rPr>
        <w:t xml:space="preserve"> </w:t>
      </w:r>
      <w:r w:rsidR="00D20B43">
        <w:t xml:space="preserve">- </w:t>
      </w:r>
      <w:bookmarkStart w:name="_GoBack" w:id="2"/>
      <w:bookmarkEnd w:id="2"/>
      <w:r w:rsidRPr="001F32D4" w:rsidR="00A43C33">
        <w:t>“1982 premium bonds”</w:t>
      </w:r>
      <w:r w:rsidRPr="001F32D4">
        <w:t xml:space="preserve">) which </w:t>
      </w:r>
      <w:r w:rsidRPr="001F32D4" w:rsidR="00170FFD">
        <w:t xml:space="preserve">are in </w:t>
      </w:r>
      <w:r w:rsidRPr="001F32D4">
        <w:t>the applicants</w:t>
      </w:r>
      <w:r w:rsidRPr="001F32D4" w:rsidR="001F32D4">
        <w:t>’</w:t>
      </w:r>
      <w:r w:rsidRPr="001F32D4" w:rsidR="00170FFD">
        <w:t xml:space="preserve"> possession</w:t>
      </w:r>
      <w:r w:rsidRPr="001F32D4">
        <w:t>.</w:t>
      </w:r>
      <w:r w:rsidRPr="001F32D4" w:rsidR="00FA76BC">
        <w:t xml:space="preserve"> </w:t>
      </w:r>
      <w:r w:rsidRPr="001F32D4" w:rsidR="00E85859">
        <w:t xml:space="preserve">The applicants submitted lists of </w:t>
      </w:r>
      <w:r w:rsidRPr="001F32D4" w:rsidR="005C44CD">
        <w:t>serials</w:t>
      </w:r>
      <w:r w:rsidRPr="001F32D4" w:rsidR="00E85859">
        <w:t xml:space="preserve"> numbers or photocopies</w:t>
      </w:r>
      <w:r w:rsidRPr="001F32D4" w:rsidR="005C44CD">
        <w:t xml:space="preserve"> of their bonds</w:t>
      </w:r>
      <w:r w:rsidRPr="001F32D4" w:rsidR="00E85859">
        <w:t>.</w:t>
      </w:r>
    </w:p>
    <w:bookmarkStart w:name="issuein1982" w:id="3"/>
    <w:p w:rsidRPr="001F32D4" w:rsidR="000F0AAE" w:rsidP="001F32D4" w:rsidRDefault="004B3DAA">
      <w:pPr>
        <w:pStyle w:val="ECHRPara"/>
      </w:pPr>
      <w:r w:rsidRPr="001F32D4">
        <w:fldChar w:fldCharType="begin"/>
      </w:r>
      <w:r w:rsidRPr="001F32D4">
        <w:instrText xml:space="preserve"> SEQ level0 \*arabic </w:instrText>
      </w:r>
      <w:r w:rsidRPr="001F32D4">
        <w:fldChar w:fldCharType="separate"/>
      </w:r>
      <w:r w:rsidRPr="001F32D4" w:rsidR="001F32D4">
        <w:rPr>
          <w:noProof/>
        </w:rPr>
        <w:t>7</w:t>
      </w:r>
      <w:r w:rsidRPr="001F32D4">
        <w:fldChar w:fldCharType="end"/>
      </w:r>
      <w:bookmarkEnd w:id="3"/>
      <w:r w:rsidRPr="001F32D4">
        <w:t>.  On 30 December 1980 the USSR Cabinet of Ministers decided to issue bonds of a</w:t>
      </w:r>
      <w:r w:rsidRPr="001F32D4" w:rsidR="00181472">
        <w:t>n</w:t>
      </w:r>
      <w:r w:rsidRPr="001F32D4">
        <w:t xml:space="preserve"> internal </w:t>
      </w:r>
      <w:r w:rsidRPr="001F32D4" w:rsidR="00181472">
        <w:t xml:space="preserve">premium </w:t>
      </w:r>
      <w:r w:rsidRPr="001F32D4">
        <w:t>loan to finance certain State programmes. The bonds had nominal values of 25, 50 and 100 Soviet roubles</w:t>
      </w:r>
      <w:r w:rsidRPr="001F32D4" w:rsidR="00D42A6A">
        <w:t xml:space="preserve"> (SUR)</w:t>
      </w:r>
      <w:r w:rsidRPr="001F32D4">
        <w:t xml:space="preserve">. Their period of circulation was set at twenty </w:t>
      </w:r>
      <w:r w:rsidRPr="001F32D4" w:rsidR="00931357">
        <w:t>years, from 1 </w:t>
      </w:r>
      <w:r w:rsidRPr="001F32D4">
        <w:t>January 1982 to 1 January 2002</w:t>
      </w:r>
      <w:r w:rsidRPr="001F32D4" w:rsidR="004D5BAD">
        <w:t>,</w:t>
      </w:r>
      <w:r w:rsidRPr="001F32D4">
        <w:t xml:space="preserve"> and they were redeemable at any time during the term of the loan with interest at </w:t>
      </w:r>
      <w:r w:rsidRPr="001F32D4" w:rsidR="00DA58BA">
        <w:t>3%</w:t>
      </w:r>
      <w:r w:rsidRPr="001F32D4">
        <w:t xml:space="preserve"> per annum. Soviet citizens could either buy the 1982</w:t>
      </w:r>
      <w:r w:rsidRPr="001F32D4" w:rsidR="00A43C33">
        <w:t xml:space="preserve"> premium</w:t>
      </w:r>
      <w:r w:rsidRPr="001F32D4">
        <w:t xml:space="preserve"> bonds with their own money or obtain them in exchange for bonds from an earlier 1966 State internal </w:t>
      </w:r>
      <w:r w:rsidRPr="001F32D4" w:rsidR="004B6633">
        <w:t xml:space="preserve">premium </w:t>
      </w:r>
      <w:r w:rsidRPr="001F32D4">
        <w:t xml:space="preserve">loan. </w:t>
      </w:r>
      <w:r w:rsidRPr="001F32D4" w:rsidR="000F0AAE">
        <w:t xml:space="preserve">The </w:t>
      </w:r>
      <w:r w:rsidRPr="001F32D4" w:rsidR="00471529">
        <w:t>average</w:t>
      </w:r>
      <w:r w:rsidRPr="001F32D4" w:rsidR="000F0AAE">
        <w:t xml:space="preserve"> monthly wage in 1982 was SUR 177.30 across all branches of the economy plus SUR 68.7</w:t>
      </w:r>
      <w:r w:rsidRPr="001F32D4" w:rsidR="00471529">
        <w:t>0</w:t>
      </w:r>
      <w:r w:rsidRPr="001F32D4" w:rsidR="000F0AAE">
        <w:t xml:space="preserve"> in various social benefits (</w:t>
      </w:r>
      <w:r w:rsidRPr="001F32D4" w:rsidR="000F0AAE">
        <w:rPr>
          <w:i/>
        </w:rPr>
        <w:t>People</w:t>
      </w:r>
      <w:r w:rsidRPr="001F32D4" w:rsidR="001F32D4">
        <w:rPr>
          <w:i/>
        </w:rPr>
        <w:t>’</w:t>
      </w:r>
      <w:r w:rsidRPr="001F32D4" w:rsidR="000F0AAE">
        <w:rPr>
          <w:i/>
        </w:rPr>
        <w:t>s Economy of the USSR 1982</w:t>
      </w:r>
      <w:r w:rsidRPr="001F32D4" w:rsidR="000F0AAE">
        <w:t>, a statistical yearbook by the USSR Central Statistics Directorate, Moscow, 1983).</w:t>
      </w:r>
    </w:p>
    <w:p w:rsidRPr="001F32D4" w:rsidR="004D5BAD" w:rsidP="001F32D4" w:rsidRDefault="004D5BAD">
      <w:pPr>
        <w:pStyle w:val="ECHRPara"/>
      </w:pPr>
      <w:r w:rsidRPr="001F32D4">
        <w:fldChar w:fldCharType="begin"/>
      </w:r>
      <w:r w:rsidRPr="001F32D4">
        <w:instrText xml:space="preserve"> SEQ level0 \*arabic </w:instrText>
      </w:r>
      <w:r w:rsidRPr="001F32D4">
        <w:fldChar w:fldCharType="separate"/>
      </w:r>
      <w:r w:rsidRPr="001F32D4" w:rsidR="001F32D4">
        <w:rPr>
          <w:noProof/>
        </w:rPr>
        <w:t>8</w:t>
      </w:r>
      <w:r w:rsidRPr="001F32D4">
        <w:fldChar w:fldCharType="end"/>
      </w:r>
      <w:r w:rsidRPr="001F32D4">
        <w:t xml:space="preserve">.  By the late 1980s the Soviet economy </w:t>
      </w:r>
      <w:r w:rsidRPr="001F32D4" w:rsidR="0002744E">
        <w:t xml:space="preserve">was </w:t>
      </w:r>
      <w:r w:rsidRPr="001F32D4">
        <w:t>suffer</w:t>
      </w:r>
      <w:r w:rsidRPr="001F32D4" w:rsidR="0002744E">
        <w:t>ing</w:t>
      </w:r>
      <w:r w:rsidRPr="001F32D4">
        <w:t xml:space="preserve"> </w:t>
      </w:r>
      <w:r w:rsidRPr="001F32D4" w:rsidR="00BD5D15">
        <w:t xml:space="preserve">from </w:t>
      </w:r>
      <w:r w:rsidRPr="001F32D4">
        <w:t xml:space="preserve">a structural </w:t>
      </w:r>
      <w:r w:rsidRPr="001F32D4" w:rsidR="00BD5D15">
        <w:t xml:space="preserve">imbalance due a rapidly increasing money supply and decreasing </w:t>
      </w:r>
      <w:r w:rsidRPr="001F32D4" w:rsidR="00223063">
        <w:t xml:space="preserve">availability </w:t>
      </w:r>
      <w:r w:rsidRPr="001F32D4" w:rsidR="00BD5D15">
        <w:t xml:space="preserve">of </w:t>
      </w:r>
      <w:r w:rsidRPr="001F32D4" w:rsidR="007764F7">
        <w:t xml:space="preserve">consumer </w:t>
      </w:r>
      <w:r w:rsidRPr="001F32D4" w:rsidR="00BD5D15">
        <w:t xml:space="preserve">goods sold at State-controlled prices. </w:t>
      </w:r>
      <w:r w:rsidRPr="001F32D4" w:rsidR="00223063">
        <w:t xml:space="preserve">In January 1991 the </w:t>
      </w:r>
      <w:r w:rsidRPr="001F32D4" w:rsidR="00680094">
        <w:t>USSR</w:t>
      </w:r>
      <w:r w:rsidRPr="001F32D4" w:rsidR="00223063">
        <w:t xml:space="preserve"> Government freed </w:t>
      </w:r>
      <w:r w:rsidRPr="001F32D4" w:rsidR="0002744E">
        <w:t>40%</w:t>
      </w:r>
      <w:r w:rsidRPr="001F32D4" w:rsidR="00223063">
        <w:t xml:space="preserve"> of prices and carried out a monetary reform </w:t>
      </w:r>
      <w:r w:rsidRPr="001F32D4" w:rsidR="00231F41">
        <w:t xml:space="preserve">eliminating </w:t>
      </w:r>
      <w:r w:rsidRPr="001F32D4" w:rsidR="00223063">
        <w:t xml:space="preserve">the largest banknotes </w:t>
      </w:r>
      <w:r w:rsidRPr="001F32D4" w:rsidR="00231F41">
        <w:t xml:space="preserve">in </w:t>
      </w:r>
      <w:r w:rsidRPr="001F32D4" w:rsidR="00223063">
        <w:t xml:space="preserve">circulation and </w:t>
      </w:r>
      <w:r w:rsidRPr="001F32D4" w:rsidR="00231F41">
        <w:t>restricting</w:t>
      </w:r>
      <w:r w:rsidRPr="001F32D4" w:rsidR="00223063">
        <w:t xml:space="preserve"> the withdrawal of money from </w:t>
      </w:r>
      <w:r w:rsidRPr="001F32D4" w:rsidR="00231F41">
        <w:t>bank deposit</w:t>
      </w:r>
      <w:r w:rsidRPr="001F32D4" w:rsidR="00ED3749">
        <w:t xml:space="preserve"> accounts</w:t>
      </w:r>
      <w:r w:rsidRPr="001F32D4" w:rsidR="00231F41">
        <w:t xml:space="preserve"> </w:t>
      </w:r>
      <w:r w:rsidRPr="001F32D4" w:rsidR="00223063">
        <w:t>to SUR 500 a month.</w:t>
      </w:r>
      <w:r w:rsidRPr="001F32D4" w:rsidR="00231F41">
        <w:t xml:space="preserve"> This led to a two to threefold increase in prices. On 22 March 1991 the USSR President issued Decree no. </w:t>
      </w:r>
      <w:proofErr w:type="gramStart"/>
      <w:r w:rsidRPr="001F32D4" w:rsidR="00231F41">
        <w:t>UP-1708</w:t>
      </w:r>
      <w:r w:rsidRPr="001F32D4" w:rsidR="00B961F0">
        <w:t>,</w:t>
      </w:r>
      <w:r w:rsidRPr="001F32D4" w:rsidR="00231F41">
        <w:t xml:space="preserve"> ordering a one-time </w:t>
      </w:r>
      <w:r w:rsidRPr="001F32D4" w:rsidR="00207426">
        <w:t>increase to</w:t>
      </w:r>
      <w:r w:rsidRPr="001F32D4" w:rsidR="00412BAC">
        <w:t xml:space="preserve"> </w:t>
      </w:r>
      <w:r w:rsidRPr="001F32D4" w:rsidR="00231F41">
        <w:t xml:space="preserve">savings instruments, including the 1982 </w:t>
      </w:r>
      <w:r w:rsidRPr="001F32D4" w:rsidR="00A43C33">
        <w:t xml:space="preserve">premium </w:t>
      </w:r>
      <w:r w:rsidRPr="001F32D4" w:rsidR="00231F41">
        <w:t xml:space="preserve">bonds, </w:t>
      </w:r>
      <w:r w:rsidRPr="001F32D4" w:rsidR="007942C8">
        <w:t>of</w:t>
      </w:r>
      <w:r w:rsidRPr="001F32D4" w:rsidR="00231F41">
        <w:t xml:space="preserve"> </w:t>
      </w:r>
      <w:r w:rsidRPr="001F32D4" w:rsidR="007B6606">
        <w:t>40</w:t>
      </w:r>
      <w:r w:rsidRPr="001F32D4" w:rsidR="0002744E">
        <w:t>%</w:t>
      </w:r>
      <w:r w:rsidRPr="001F32D4" w:rsidR="00231F41">
        <w:t xml:space="preserve"> to offset the price </w:t>
      </w:r>
      <w:r w:rsidRPr="001F32D4" w:rsidR="007158CF">
        <w:t>rise</w:t>
      </w:r>
      <w:r w:rsidRPr="001F32D4" w:rsidR="00231F41">
        <w:t>.</w:t>
      </w:r>
      <w:proofErr w:type="gramEnd"/>
    </w:p>
    <w:p w:rsidRPr="001F32D4" w:rsidR="00223063" w:rsidP="001F32D4" w:rsidRDefault="00223063">
      <w:pPr>
        <w:pStyle w:val="ECHRPara"/>
      </w:pPr>
      <w:r w:rsidRPr="001F32D4">
        <w:fldChar w:fldCharType="begin"/>
      </w:r>
      <w:r w:rsidRPr="001F32D4">
        <w:instrText xml:space="preserve"> SEQ level0 \*arabic </w:instrText>
      </w:r>
      <w:r w:rsidRPr="001F32D4">
        <w:fldChar w:fldCharType="separate"/>
      </w:r>
      <w:r w:rsidRPr="001F32D4" w:rsidR="001F32D4">
        <w:rPr>
          <w:noProof/>
        </w:rPr>
        <w:t>9</w:t>
      </w:r>
      <w:r w:rsidRPr="001F32D4">
        <w:fldChar w:fldCharType="end"/>
      </w:r>
      <w:r w:rsidRPr="001F32D4">
        <w:t>.  On 2</w:t>
      </w:r>
      <w:r w:rsidRPr="001F32D4" w:rsidR="005706FF">
        <w:t>6</w:t>
      </w:r>
      <w:r w:rsidRPr="001F32D4">
        <w:t xml:space="preserve"> December 1991 the USSR was dissolved</w:t>
      </w:r>
      <w:r w:rsidRPr="001F32D4" w:rsidR="002C3D25">
        <w:t xml:space="preserve"> by Declaration </w:t>
      </w:r>
      <w:r w:rsidRPr="001F32D4" w:rsidR="005706FF">
        <w:t>no. 142-N of the Supreme Soviet of the USSR</w:t>
      </w:r>
      <w:r w:rsidRPr="001F32D4">
        <w:t>.</w:t>
      </w:r>
      <w:r w:rsidRPr="001F32D4" w:rsidR="00C90DAC">
        <w:t xml:space="preserve"> </w:t>
      </w:r>
      <w:r w:rsidRPr="001F32D4" w:rsidR="00BB7AF2">
        <w:t>The declaration</w:t>
      </w:r>
      <w:r w:rsidRPr="001F32D4" w:rsidR="00C90DAC">
        <w:t xml:space="preserve"> invited the heads of newly independent States to reflect on the issues of succession.</w:t>
      </w:r>
    </w:p>
    <w:bookmarkStart w:name="res19feb1992" w:id="4"/>
    <w:p w:rsidRPr="001F32D4" w:rsidR="004B3DAA" w:rsidP="001F32D4" w:rsidRDefault="004B3DAA">
      <w:pPr>
        <w:pStyle w:val="ECHRPara"/>
      </w:pPr>
      <w:r w:rsidRPr="001F32D4">
        <w:fldChar w:fldCharType="begin"/>
      </w:r>
      <w:r w:rsidRPr="001F32D4">
        <w:instrText xml:space="preserve"> SEQ level0 \*arabic </w:instrText>
      </w:r>
      <w:r w:rsidRPr="001F32D4">
        <w:fldChar w:fldCharType="separate"/>
      </w:r>
      <w:r w:rsidRPr="001F32D4" w:rsidR="001F32D4">
        <w:rPr>
          <w:noProof/>
        </w:rPr>
        <w:t>10</w:t>
      </w:r>
      <w:r w:rsidRPr="001F32D4">
        <w:fldChar w:fldCharType="end"/>
      </w:r>
      <w:bookmarkEnd w:id="4"/>
      <w:r w:rsidRPr="001F32D4">
        <w:t xml:space="preserve">.  On 19 February 1992 the </w:t>
      </w:r>
      <w:r w:rsidRPr="001F32D4" w:rsidR="00ED515F">
        <w:t xml:space="preserve">Russian </w:t>
      </w:r>
      <w:r w:rsidRPr="001F32D4">
        <w:t>G</w:t>
      </w:r>
      <w:r w:rsidRPr="001F32D4" w:rsidR="00931357">
        <w:t>overnment issued Resolution no. </w:t>
      </w:r>
      <w:r w:rsidRPr="001F32D4">
        <w:t xml:space="preserve">97, recognising its succession in respect of the obligations of the </w:t>
      </w:r>
      <w:r w:rsidRPr="001F32D4" w:rsidR="00701A9D">
        <w:t xml:space="preserve">former </w:t>
      </w:r>
      <w:r w:rsidRPr="001F32D4">
        <w:t>USSR under the 1982 loan:</w:t>
      </w:r>
    </w:p>
    <w:p w:rsidRPr="001F32D4" w:rsidR="004B3DAA" w:rsidP="001F32D4" w:rsidRDefault="004B3DAA">
      <w:pPr>
        <w:pStyle w:val="ECHRParaQuote"/>
      </w:pPr>
      <w:r w:rsidRPr="001F32D4">
        <w:t>“1.  To confirm succession of the</w:t>
      </w:r>
      <w:r w:rsidRPr="001F32D4" w:rsidR="00ED515F">
        <w:t xml:space="preserve"> [Russian]</w:t>
      </w:r>
      <w:r w:rsidRPr="001F32D4">
        <w:t xml:space="preserve"> Government in respect of </w:t>
      </w:r>
      <w:r w:rsidRPr="001F32D4" w:rsidR="00701A9D">
        <w:t xml:space="preserve">the </w:t>
      </w:r>
      <w:r w:rsidRPr="001F32D4">
        <w:t xml:space="preserve">obligations of the former USSR </w:t>
      </w:r>
      <w:r w:rsidRPr="001F32D4">
        <w:rPr>
          <w:i/>
        </w:rPr>
        <w:t>vis-à-vis</w:t>
      </w:r>
      <w:r w:rsidRPr="001F32D4">
        <w:t xml:space="preserve"> Russian Federation citizens arising out of the bonds of the 1982 State internal premium loan.</w:t>
      </w:r>
    </w:p>
    <w:p w:rsidRPr="001F32D4" w:rsidR="004B3DAA" w:rsidP="001F32D4" w:rsidRDefault="001143E3">
      <w:pPr>
        <w:pStyle w:val="ECHRParaQuote"/>
      </w:pPr>
      <w:r w:rsidRPr="001F32D4">
        <w:t>...</w:t>
      </w:r>
    </w:p>
    <w:p w:rsidRPr="001F32D4" w:rsidR="004B3DAA" w:rsidP="001F32D4" w:rsidRDefault="004B3DAA">
      <w:pPr>
        <w:pStyle w:val="ECHRParaQuote"/>
      </w:pPr>
      <w:r w:rsidRPr="001F32D4">
        <w:t>6.</w:t>
      </w:r>
      <w:proofErr w:type="gramStart"/>
      <w:r w:rsidRPr="001F32D4">
        <w:t>  To</w:t>
      </w:r>
      <w:proofErr w:type="gramEnd"/>
      <w:r w:rsidRPr="001F32D4">
        <w:t xml:space="preserve"> give Russian Federation citizens who are holders of bonds of the 1982 State internal premium loan the right to </w:t>
      </w:r>
      <w:r w:rsidRPr="001F32D4" w:rsidR="00953DBA">
        <w:t xml:space="preserve">voluntarily </w:t>
      </w:r>
      <w:r w:rsidRPr="001F32D4">
        <w:t>exchange the</w:t>
      </w:r>
      <w:r w:rsidRPr="001F32D4" w:rsidR="00953DBA">
        <w:t>ir</w:t>
      </w:r>
      <w:r w:rsidRPr="001F32D4">
        <w:t xml:space="preserve"> bonds against State securities, including 1992 Russian internal premium loan bonds, shares in the Savings Bank </w:t>
      </w:r>
      <w:r w:rsidRPr="001F32D4" w:rsidR="001143E3">
        <w:t>...</w:t>
      </w:r>
      <w:r w:rsidRPr="001F32D4">
        <w:t xml:space="preserve"> and also to credit the proceeds </w:t>
      </w:r>
      <w:r w:rsidRPr="001F32D4" w:rsidR="00953DBA">
        <w:t xml:space="preserve">of </w:t>
      </w:r>
      <w:r w:rsidRPr="001F32D4">
        <w:t xml:space="preserve">sale </w:t>
      </w:r>
      <w:r w:rsidRPr="001F32D4" w:rsidR="00953DBA">
        <w:t xml:space="preserve">of the </w:t>
      </w:r>
      <w:r w:rsidRPr="001F32D4">
        <w:t xml:space="preserve">bonds </w:t>
      </w:r>
      <w:r w:rsidRPr="001F32D4" w:rsidR="00953DBA">
        <w:t>in</w:t>
      </w:r>
      <w:r w:rsidRPr="001F32D4">
        <w:t xml:space="preserve">to deposit </w:t>
      </w:r>
      <w:r w:rsidRPr="001F32D4" w:rsidR="00953DBA">
        <w:t xml:space="preserve">accounts </w:t>
      </w:r>
      <w:r w:rsidRPr="001F32D4">
        <w:t>open in the Savings Bank</w:t>
      </w:r>
      <w:r w:rsidRPr="001F32D4" w:rsidR="00A34875">
        <w:t xml:space="preserve"> </w:t>
      </w:r>
      <w:r w:rsidRPr="001F32D4" w:rsidR="001143E3">
        <w:t>...</w:t>
      </w:r>
      <w:r w:rsidRPr="001F32D4">
        <w:t xml:space="preserve"> from 1 October 1992</w:t>
      </w:r>
      <w:r w:rsidRPr="001F32D4" w:rsidR="00A34875">
        <w:t xml:space="preserve"> </w:t>
      </w:r>
      <w:r w:rsidRPr="001F32D4" w:rsidR="002C3D25">
        <w:t>...</w:t>
      </w:r>
      <w:r w:rsidRPr="001F32D4">
        <w:t>”</w:t>
      </w:r>
    </w:p>
    <w:p w:rsidRPr="001F32D4" w:rsidR="004B3DAA" w:rsidP="001F32D4" w:rsidRDefault="004B3DAA">
      <w:pPr>
        <w:pStyle w:val="ECHRPara"/>
      </w:pPr>
      <w:r w:rsidRPr="001F32D4">
        <w:fldChar w:fldCharType="begin"/>
      </w:r>
      <w:r w:rsidRPr="001F32D4">
        <w:instrText xml:space="preserve"> SEQ level0 \*arabic </w:instrText>
      </w:r>
      <w:r w:rsidRPr="001F32D4">
        <w:fldChar w:fldCharType="separate"/>
      </w:r>
      <w:r w:rsidRPr="001F32D4" w:rsidR="001F32D4">
        <w:rPr>
          <w:noProof/>
        </w:rPr>
        <w:t>11</w:t>
      </w:r>
      <w:r w:rsidRPr="001F32D4">
        <w:fldChar w:fldCharType="end"/>
      </w:r>
      <w:r w:rsidRPr="001F32D4">
        <w:t xml:space="preserve">.  Between 1995 and 2000 a series of Russian laws </w:t>
      </w:r>
      <w:r w:rsidRPr="001F32D4" w:rsidR="00C20ADE">
        <w:t xml:space="preserve">and regulations </w:t>
      </w:r>
      <w:r w:rsidRPr="001F32D4" w:rsidR="00DA1CA5">
        <w:t xml:space="preserve">were passed </w:t>
      </w:r>
      <w:r w:rsidRPr="001F32D4">
        <w:t xml:space="preserve">which provided for </w:t>
      </w:r>
      <w:r w:rsidRPr="001F32D4" w:rsidR="00DA1CA5">
        <w:t xml:space="preserve">the </w:t>
      </w:r>
      <w:r w:rsidRPr="001F32D4">
        <w:t>conversion of Soviet securities, including the 1982</w:t>
      </w:r>
      <w:r w:rsidRPr="001F32D4" w:rsidR="00A43C33">
        <w:t xml:space="preserve"> premium</w:t>
      </w:r>
      <w:r w:rsidRPr="001F32D4">
        <w:t xml:space="preserve"> bonds, into special Russian promissory notes</w:t>
      </w:r>
      <w:r w:rsidRPr="001F32D4" w:rsidR="00C20ADE">
        <w:t xml:space="preserve"> nominated in “promissory roubles” (DOR) (for details, see </w:t>
      </w:r>
      <w:r w:rsidRPr="001F32D4" w:rsidR="002C3D25">
        <w:rPr>
          <w:i/>
        </w:rPr>
        <w:t xml:space="preserve">Yuriy </w:t>
      </w:r>
      <w:proofErr w:type="spellStart"/>
      <w:r w:rsidRPr="001F32D4" w:rsidR="002C3D25">
        <w:rPr>
          <w:i/>
        </w:rPr>
        <w:t>Lobanov</w:t>
      </w:r>
      <w:proofErr w:type="spellEnd"/>
      <w:r w:rsidRPr="001F32D4" w:rsidR="002C3D25">
        <w:rPr>
          <w:i/>
        </w:rPr>
        <w:t xml:space="preserve"> v. </w:t>
      </w:r>
      <w:r w:rsidRPr="001F32D4" w:rsidR="00C20ADE">
        <w:rPr>
          <w:i/>
        </w:rPr>
        <w:t>Russia</w:t>
      </w:r>
      <w:r w:rsidRPr="001F32D4" w:rsidR="00C20ADE">
        <w:t>, no. 15578/03, §§ 16-21, 2 December 2010)</w:t>
      </w:r>
      <w:r w:rsidRPr="001F32D4">
        <w:t>.</w:t>
      </w:r>
    </w:p>
    <w:bookmarkStart w:name="suspension" w:id="5"/>
    <w:bookmarkStart w:name="suspended2017" w:id="6"/>
    <w:p w:rsidRPr="001F32D4" w:rsidR="004B3DAA" w:rsidP="001F32D4" w:rsidRDefault="004B3DAA">
      <w:pPr>
        <w:pStyle w:val="ECHRPara"/>
      </w:pPr>
      <w:r w:rsidRPr="001F32D4">
        <w:fldChar w:fldCharType="begin"/>
      </w:r>
      <w:r w:rsidRPr="001F32D4">
        <w:instrText xml:space="preserve"> SEQ level0 \*arabic </w:instrText>
      </w:r>
      <w:r w:rsidRPr="001F32D4">
        <w:fldChar w:fldCharType="separate"/>
      </w:r>
      <w:r w:rsidRPr="001F32D4" w:rsidR="001F32D4">
        <w:rPr>
          <w:noProof/>
        </w:rPr>
        <w:t>12</w:t>
      </w:r>
      <w:r w:rsidRPr="001F32D4">
        <w:fldChar w:fldCharType="end"/>
      </w:r>
      <w:bookmarkEnd w:id="5"/>
      <w:bookmarkEnd w:id="6"/>
      <w:r w:rsidRPr="001F32D4">
        <w:t>.  </w:t>
      </w:r>
      <w:r w:rsidRPr="001F32D4" w:rsidR="00641B58">
        <w:t>F</w:t>
      </w:r>
      <w:r w:rsidRPr="001F32D4">
        <w:t xml:space="preserve">rom 2003 to the present day, the application and implementation of </w:t>
      </w:r>
      <w:r w:rsidRPr="001F32D4" w:rsidR="00C20ADE">
        <w:t>those laws and regulations</w:t>
      </w:r>
      <w:r w:rsidRPr="001F32D4">
        <w:t xml:space="preserve"> ha</w:t>
      </w:r>
      <w:r w:rsidRPr="001F32D4" w:rsidR="00C20ADE">
        <w:t>ve</w:t>
      </w:r>
      <w:r w:rsidRPr="001F32D4">
        <w:t xml:space="preserve"> been </w:t>
      </w:r>
      <w:r w:rsidRPr="001F32D4" w:rsidR="00130EEB">
        <w:t>continuously</w:t>
      </w:r>
      <w:r w:rsidRPr="001F32D4">
        <w:t xml:space="preserve"> suspended</w:t>
      </w:r>
      <w:r w:rsidRPr="001F32D4" w:rsidR="00F44817">
        <w:t xml:space="preserve">, </w:t>
      </w:r>
      <w:r w:rsidRPr="001F32D4">
        <w:t xml:space="preserve">most recently for the period </w:t>
      </w:r>
      <w:r w:rsidRPr="001F32D4" w:rsidR="00DE248A">
        <w:t xml:space="preserve">1 January 2017 to </w:t>
      </w:r>
      <w:r w:rsidRPr="001F32D4">
        <w:t xml:space="preserve">1 January 2020, by </w:t>
      </w:r>
      <w:r w:rsidRPr="001F32D4" w:rsidR="00C20ADE">
        <w:rPr>
          <w:szCs w:val="24"/>
        </w:rPr>
        <w:t>Law no. 429</w:t>
      </w:r>
      <w:r w:rsidRPr="001F32D4" w:rsidR="00C20ADE">
        <w:rPr>
          <w:szCs w:val="24"/>
        </w:rPr>
        <w:noBreakHyphen/>
        <w:t xml:space="preserve">FZ of 19 December 2016 and </w:t>
      </w:r>
      <w:r w:rsidRPr="001F32D4">
        <w:t>Resolution no. 1437 dated 22 December 2016.</w:t>
      </w:r>
    </w:p>
    <w:p w:rsidRPr="001F32D4" w:rsidR="00100C8F" w:rsidP="001F32D4" w:rsidRDefault="00100C8F">
      <w:pPr>
        <w:pStyle w:val="ECHRPara"/>
        <w:rPr>
          <w:szCs w:val="24"/>
        </w:rPr>
      </w:pPr>
      <w:r w:rsidRPr="001F32D4">
        <w:rPr>
          <w:szCs w:val="24"/>
        </w:rPr>
        <w:fldChar w:fldCharType="begin"/>
      </w:r>
      <w:r w:rsidRPr="001F32D4">
        <w:rPr>
          <w:szCs w:val="24"/>
        </w:rPr>
        <w:instrText xml:space="preserve"> SEQ level0 \*arabic </w:instrText>
      </w:r>
      <w:r w:rsidRPr="001F32D4">
        <w:rPr>
          <w:szCs w:val="24"/>
        </w:rPr>
        <w:fldChar w:fldCharType="separate"/>
      </w:r>
      <w:r w:rsidRPr="001F32D4" w:rsidR="001F32D4">
        <w:rPr>
          <w:noProof/>
          <w:szCs w:val="24"/>
        </w:rPr>
        <w:t>13</w:t>
      </w:r>
      <w:r w:rsidRPr="001F32D4">
        <w:rPr>
          <w:szCs w:val="24"/>
        </w:rPr>
        <w:fldChar w:fldCharType="end"/>
      </w:r>
      <w:r w:rsidRPr="001F32D4">
        <w:rPr>
          <w:szCs w:val="24"/>
        </w:rPr>
        <w:t xml:space="preserve">.  The applicants applied to </w:t>
      </w:r>
      <w:r w:rsidRPr="001F32D4" w:rsidR="001B007E">
        <w:rPr>
          <w:szCs w:val="24"/>
        </w:rPr>
        <w:t xml:space="preserve">the </w:t>
      </w:r>
      <w:r w:rsidRPr="001F32D4">
        <w:rPr>
          <w:szCs w:val="24"/>
        </w:rPr>
        <w:t xml:space="preserve">Russian financial authorities and </w:t>
      </w:r>
      <w:r w:rsidRPr="001F32D4" w:rsidR="00F44817">
        <w:rPr>
          <w:szCs w:val="24"/>
        </w:rPr>
        <w:t xml:space="preserve">the </w:t>
      </w:r>
      <w:r w:rsidRPr="001F32D4">
        <w:rPr>
          <w:szCs w:val="24"/>
        </w:rPr>
        <w:t xml:space="preserve">courts, seeking </w:t>
      </w:r>
      <w:r w:rsidRPr="001F32D4" w:rsidR="0081392E">
        <w:rPr>
          <w:szCs w:val="24"/>
        </w:rPr>
        <w:t>the</w:t>
      </w:r>
      <w:r w:rsidRPr="001F32D4">
        <w:rPr>
          <w:szCs w:val="24"/>
        </w:rPr>
        <w:t xml:space="preserve"> redemption of their bonds. Their claims were rejected on procedural and substantive grounds. Mr </w:t>
      </w:r>
      <w:proofErr w:type="spellStart"/>
      <w:r w:rsidRPr="001F32D4">
        <w:rPr>
          <w:szCs w:val="24"/>
        </w:rPr>
        <w:t>Ruzanov</w:t>
      </w:r>
      <w:r w:rsidRPr="001F32D4" w:rsidR="001F32D4">
        <w:rPr>
          <w:szCs w:val="24"/>
        </w:rPr>
        <w:t>’</w:t>
      </w:r>
      <w:r w:rsidRPr="001F32D4">
        <w:rPr>
          <w:szCs w:val="24"/>
        </w:rPr>
        <w:t>s</w:t>
      </w:r>
      <w:proofErr w:type="spellEnd"/>
      <w:r w:rsidRPr="001F32D4">
        <w:rPr>
          <w:szCs w:val="24"/>
        </w:rPr>
        <w:t xml:space="preserve"> claim was </w:t>
      </w:r>
      <w:r w:rsidRPr="001F32D4" w:rsidR="00F44817">
        <w:rPr>
          <w:szCs w:val="24"/>
        </w:rPr>
        <w:t xml:space="preserve">allowed </w:t>
      </w:r>
      <w:r w:rsidRPr="001F32D4">
        <w:rPr>
          <w:szCs w:val="24"/>
        </w:rPr>
        <w:t xml:space="preserve">at first instance but the judgment was </w:t>
      </w:r>
      <w:r w:rsidRPr="001F32D4" w:rsidR="00F44817">
        <w:rPr>
          <w:szCs w:val="24"/>
        </w:rPr>
        <w:t xml:space="preserve">later </w:t>
      </w:r>
      <w:r w:rsidRPr="001F32D4">
        <w:rPr>
          <w:szCs w:val="24"/>
        </w:rPr>
        <w:t>overturned on appeal.</w:t>
      </w:r>
      <w:r w:rsidRPr="001F32D4" w:rsidR="006E243A">
        <w:rPr>
          <w:szCs w:val="24"/>
        </w:rPr>
        <w:t xml:space="preserve"> On 5 May 2014 </w:t>
      </w:r>
      <w:r w:rsidRPr="001F32D4" w:rsidR="006E243A">
        <w:t xml:space="preserve">Mr </w:t>
      </w:r>
      <w:proofErr w:type="spellStart"/>
      <w:r w:rsidRPr="001F32D4" w:rsidR="006E243A">
        <w:t>Israfilov</w:t>
      </w:r>
      <w:proofErr w:type="spellEnd"/>
      <w:r w:rsidRPr="001F32D4" w:rsidR="006E243A">
        <w:t xml:space="preserve"> obtained a decision from the </w:t>
      </w:r>
      <w:proofErr w:type="spellStart"/>
      <w:r w:rsidRPr="001F32D4" w:rsidR="006E243A">
        <w:t>Leninskiy</w:t>
      </w:r>
      <w:proofErr w:type="spellEnd"/>
      <w:r w:rsidRPr="001F32D4" w:rsidR="006E243A">
        <w:t xml:space="preserve"> District Court in Makhachkala, requiring the Russian Government to convert his bonds into special promissory notes.</w:t>
      </w:r>
    </w:p>
    <w:bookmarkStart w:name="constcourt3apr2012" w:id="7"/>
    <w:bookmarkStart w:name="appsclaims" w:id="8"/>
    <w:p w:rsidRPr="001F32D4" w:rsidR="004B7761" w:rsidP="001F32D4" w:rsidRDefault="00D22BEC">
      <w:pPr>
        <w:pStyle w:val="ECHRPara"/>
        <w:rPr>
          <w:szCs w:val="24"/>
        </w:rPr>
      </w:pPr>
      <w:r w:rsidRPr="001F32D4">
        <w:rPr>
          <w:szCs w:val="24"/>
        </w:rPr>
        <w:fldChar w:fldCharType="begin"/>
      </w:r>
      <w:r w:rsidRPr="001F32D4">
        <w:rPr>
          <w:szCs w:val="24"/>
        </w:rPr>
        <w:instrText xml:space="preserve"> SEQ level0 \*arabic </w:instrText>
      </w:r>
      <w:r w:rsidRPr="001F32D4">
        <w:rPr>
          <w:szCs w:val="24"/>
        </w:rPr>
        <w:fldChar w:fldCharType="separate"/>
      </w:r>
      <w:r w:rsidRPr="001F32D4" w:rsidR="001F32D4">
        <w:rPr>
          <w:noProof/>
          <w:szCs w:val="24"/>
        </w:rPr>
        <w:t>14</w:t>
      </w:r>
      <w:r w:rsidRPr="001F32D4">
        <w:rPr>
          <w:szCs w:val="24"/>
        </w:rPr>
        <w:fldChar w:fldCharType="end"/>
      </w:r>
      <w:bookmarkEnd w:id="7"/>
      <w:bookmarkEnd w:id="8"/>
      <w:r w:rsidRPr="001F32D4">
        <w:rPr>
          <w:szCs w:val="24"/>
        </w:rPr>
        <w:t xml:space="preserve">.  Mr </w:t>
      </w:r>
      <w:proofErr w:type="spellStart"/>
      <w:r w:rsidRPr="001F32D4" w:rsidR="00721D51">
        <w:rPr>
          <w:szCs w:val="24"/>
        </w:rPr>
        <w:t>Losyakov</w:t>
      </w:r>
      <w:proofErr w:type="spellEnd"/>
      <w:r w:rsidRPr="001F32D4" w:rsidR="00721D51">
        <w:rPr>
          <w:szCs w:val="24"/>
        </w:rPr>
        <w:t xml:space="preserve"> </w:t>
      </w:r>
      <w:r w:rsidRPr="001F32D4">
        <w:rPr>
          <w:szCs w:val="24"/>
        </w:rPr>
        <w:t xml:space="preserve">and Ms </w:t>
      </w:r>
      <w:proofErr w:type="spellStart"/>
      <w:r w:rsidRPr="001F32D4">
        <w:rPr>
          <w:szCs w:val="24"/>
        </w:rPr>
        <w:t>Losyakov</w:t>
      </w:r>
      <w:r w:rsidRPr="001F32D4" w:rsidR="00721D51">
        <w:rPr>
          <w:szCs w:val="24"/>
        </w:rPr>
        <w:t>a</w:t>
      </w:r>
      <w:r w:rsidRPr="001F32D4" w:rsidR="001F32D4">
        <w:rPr>
          <w:szCs w:val="24"/>
        </w:rPr>
        <w:t>’</w:t>
      </w:r>
      <w:r w:rsidRPr="001F32D4">
        <w:rPr>
          <w:szCs w:val="24"/>
        </w:rPr>
        <w:t>s</w:t>
      </w:r>
      <w:proofErr w:type="spellEnd"/>
      <w:r w:rsidRPr="001F32D4">
        <w:rPr>
          <w:szCs w:val="24"/>
        </w:rPr>
        <w:t xml:space="preserve"> claim was referred by the Supreme Court to the Constitutional Court</w:t>
      </w:r>
      <w:r w:rsidRPr="001F32D4" w:rsidR="004B7761">
        <w:rPr>
          <w:szCs w:val="24"/>
        </w:rPr>
        <w:t xml:space="preserve">. By </w:t>
      </w:r>
      <w:r w:rsidRPr="001F32D4" w:rsidR="00F44817">
        <w:rPr>
          <w:szCs w:val="24"/>
        </w:rPr>
        <w:t>d</w:t>
      </w:r>
      <w:r w:rsidRPr="001F32D4">
        <w:rPr>
          <w:szCs w:val="24"/>
        </w:rPr>
        <w:t>ecision no.</w:t>
      </w:r>
      <w:r w:rsidRPr="001F32D4" w:rsidR="00931357">
        <w:rPr>
          <w:szCs w:val="24"/>
        </w:rPr>
        <w:t xml:space="preserve"> 632-O of 3 </w:t>
      </w:r>
      <w:r w:rsidRPr="001F32D4">
        <w:rPr>
          <w:szCs w:val="24"/>
        </w:rPr>
        <w:t>April 2012</w:t>
      </w:r>
      <w:r w:rsidRPr="001F32D4" w:rsidR="004B7761">
        <w:rPr>
          <w:szCs w:val="24"/>
        </w:rPr>
        <w:t xml:space="preserve">, the Constitutional Court </w:t>
      </w:r>
      <w:r w:rsidRPr="001F32D4">
        <w:rPr>
          <w:szCs w:val="24"/>
        </w:rPr>
        <w:t xml:space="preserve">declared it inadmissible, finding that it was not competent to rule on the issue of an alleged failure of federal lawmakers to </w:t>
      </w:r>
      <w:r w:rsidRPr="001F32D4" w:rsidR="004B7761">
        <w:rPr>
          <w:szCs w:val="24"/>
        </w:rPr>
        <w:t xml:space="preserve">enact laws guaranteeing the protection of savings which had been recognised as </w:t>
      </w:r>
      <w:r w:rsidRPr="001F32D4" w:rsidR="00ED515F">
        <w:rPr>
          <w:szCs w:val="24"/>
        </w:rPr>
        <w:t>Russia</w:t>
      </w:r>
      <w:r w:rsidRPr="001F32D4" w:rsidR="001F32D4">
        <w:rPr>
          <w:szCs w:val="24"/>
        </w:rPr>
        <w:t>’</w:t>
      </w:r>
      <w:r w:rsidRPr="001F32D4" w:rsidR="00ED515F">
        <w:rPr>
          <w:szCs w:val="24"/>
        </w:rPr>
        <w:t xml:space="preserve">s </w:t>
      </w:r>
      <w:r w:rsidRPr="001F32D4" w:rsidR="004B7761">
        <w:rPr>
          <w:szCs w:val="24"/>
        </w:rPr>
        <w:t xml:space="preserve">internal debt. In its view, the federal lawmakers had adequate discretion to legislate on those issues in the interests of everyone, taking into account the specific social and economic conditions prevailing in Russia and </w:t>
      </w:r>
      <w:r w:rsidRPr="001F32D4" w:rsidR="000A6495">
        <w:rPr>
          <w:szCs w:val="24"/>
        </w:rPr>
        <w:t xml:space="preserve">the </w:t>
      </w:r>
      <w:r w:rsidRPr="001F32D4" w:rsidR="004B7761">
        <w:rPr>
          <w:szCs w:val="24"/>
        </w:rPr>
        <w:t>balance between the rights and lawful interests of various categories of citizens, including those who act</w:t>
      </w:r>
      <w:r w:rsidRPr="001F32D4" w:rsidR="00F6206C">
        <w:rPr>
          <w:szCs w:val="24"/>
        </w:rPr>
        <w:t>ed</w:t>
      </w:r>
      <w:r w:rsidRPr="001F32D4" w:rsidR="004B7761">
        <w:rPr>
          <w:szCs w:val="24"/>
        </w:rPr>
        <w:t xml:space="preserve"> as creditors of the State and others in respect of whom the State ha</w:t>
      </w:r>
      <w:r w:rsidRPr="001F32D4" w:rsidR="00F6206C">
        <w:rPr>
          <w:szCs w:val="24"/>
        </w:rPr>
        <w:t>d</w:t>
      </w:r>
      <w:r w:rsidRPr="001F32D4" w:rsidR="004B7761">
        <w:rPr>
          <w:szCs w:val="24"/>
        </w:rPr>
        <w:t xml:space="preserve"> public policy obligations. The legislature </w:t>
      </w:r>
      <w:r w:rsidRPr="001F32D4" w:rsidR="00F6206C">
        <w:rPr>
          <w:szCs w:val="24"/>
        </w:rPr>
        <w:t xml:space="preserve">was </w:t>
      </w:r>
      <w:r w:rsidRPr="001F32D4" w:rsidR="004B7761">
        <w:rPr>
          <w:szCs w:val="24"/>
        </w:rPr>
        <w:t xml:space="preserve">entitled to restrict the rights, including property rights, of some </w:t>
      </w:r>
      <w:r w:rsidRPr="001F32D4" w:rsidR="00F6206C">
        <w:rPr>
          <w:szCs w:val="24"/>
        </w:rPr>
        <w:t xml:space="preserve">people </w:t>
      </w:r>
      <w:r w:rsidRPr="001F32D4" w:rsidR="004B7761">
        <w:rPr>
          <w:szCs w:val="24"/>
        </w:rPr>
        <w:t>for the protection of rights and lawful interests of others.</w:t>
      </w:r>
    </w:p>
    <w:p w:rsidRPr="001F32D4" w:rsidR="00014566" w:rsidP="001F32D4" w:rsidRDefault="00014566">
      <w:pPr>
        <w:pStyle w:val="ECHRTitle1"/>
      </w:pPr>
      <w:r w:rsidRPr="001F32D4">
        <w:t>THE LAW</w:t>
      </w:r>
    </w:p>
    <w:p w:rsidRPr="001F32D4" w:rsidR="000774D6" w:rsidP="001F32D4" w:rsidRDefault="000774D6">
      <w:pPr>
        <w:pStyle w:val="ECHRHeading1"/>
      </w:pPr>
      <w:r w:rsidRPr="001F32D4">
        <w:t>I.</w:t>
      </w:r>
      <w:r w:rsidRPr="001F32D4" w:rsidR="00700436">
        <w:t>  </w:t>
      </w:r>
      <w:r w:rsidRPr="001F32D4">
        <w:t>JOINDER OF THE APPLICATIONS</w:t>
      </w:r>
    </w:p>
    <w:p w:rsidRPr="001F32D4" w:rsidR="000774D6" w:rsidP="001F32D4" w:rsidRDefault="000774D6">
      <w:pPr>
        <w:pStyle w:val="ECHRPara"/>
      </w:pPr>
      <w:r w:rsidRPr="001F32D4">
        <w:fldChar w:fldCharType="begin"/>
      </w:r>
      <w:r w:rsidRPr="001F32D4">
        <w:instrText xml:space="preserve"> SEQ level0 \*arabic </w:instrText>
      </w:r>
      <w:r w:rsidRPr="001F32D4">
        <w:fldChar w:fldCharType="separate"/>
      </w:r>
      <w:r w:rsidRPr="001F32D4" w:rsidR="001F32D4">
        <w:rPr>
          <w:noProof/>
        </w:rPr>
        <w:t>15</w:t>
      </w:r>
      <w:r w:rsidRPr="001F32D4">
        <w:fldChar w:fldCharType="end"/>
      </w:r>
      <w:r w:rsidRPr="001F32D4">
        <w:t>.  The Court notes that all the applicants alleged a violation of their property rights. Having regard to the similarity of the applicants</w:t>
      </w:r>
      <w:r w:rsidRPr="001F32D4" w:rsidR="001F32D4">
        <w:t>’</w:t>
      </w:r>
      <w:r w:rsidRPr="001F32D4">
        <w:t xml:space="preserve"> grievances, the Court is of the view that the applications should be joined in accordance with Rule 42 § 1 of the Rules of Court.</w:t>
      </w:r>
    </w:p>
    <w:p w:rsidRPr="001F32D4" w:rsidR="00014566" w:rsidP="001F32D4" w:rsidRDefault="000774D6">
      <w:pPr>
        <w:pStyle w:val="ECHRHeading1"/>
      </w:pPr>
      <w:r w:rsidRPr="001F32D4">
        <w:t>I</w:t>
      </w:r>
      <w:r w:rsidRPr="001F32D4" w:rsidR="00014566">
        <w:t>I.</w:t>
      </w:r>
      <w:proofErr w:type="gramStart"/>
      <w:r w:rsidRPr="001F32D4" w:rsidR="00014566">
        <w:t>  ALLEGED</w:t>
      </w:r>
      <w:proofErr w:type="gramEnd"/>
      <w:r w:rsidRPr="001F32D4" w:rsidR="00014566">
        <w:t xml:space="preserve"> VIOLATION OF ARTICLE </w:t>
      </w:r>
      <w:r w:rsidRPr="001F32D4" w:rsidR="006B084A">
        <w:t>1 OF PROTOCOL N</w:t>
      </w:r>
      <w:r w:rsidRPr="001F32D4" w:rsidR="00AB3A18">
        <w:t>o</w:t>
      </w:r>
      <w:r w:rsidRPr="001F32D4" w:rsidR="006B084A">
        <w:t>. 1</w:t>
      </w:r>
      <w:r w:rsidRPr="001F32D4" w:rsidR="00FC31AD">
        <w:t xml:space="preserve"> TO THE CONVENTION</w:t>
      </w:r>
    </w:p>
    <w:p w:rsidRPr="001F32D4" w:rsidR="00F31728" w:rsidP="001F32D4" w:rsidRDefault="00FD03DD">
      <w:pPr>
        <w:pStyle w:val="ECHRPara"/>
      </w:pPr>
      <w:r w:rsidRPr="001F32D4">
        <w:fldChar w:fldCharType="begin"/>
      </w:r>
      <w:r w:rsidRPr="001F32D4">
        <w:instrText xml:space="preserve"> SEQ level0 \*arabic </w:instrText>
      </w:r>
      <w:r w:rsidRPr="001F32D4">
        <w:fldChar w:fldCharType="separate"/>
      </w:r>
      <w:r w:rsidRPr="001F32D4" w:rsidR="001F32D4">
        <w:rPr>
          <w:noProof/>
        </w:rPr>
        <w:t>16</w:t>
      </w:r>
      <w:r w:rsidRPr="001F32D4">
        <w:fldChar w:fldCharType="end"/>
      </w:r>
      <w:r w:rsidRPr="001F32D4" w:rsidR="00014566">
        <w:t>.  The applicant</w:t>
      </w:r>
      <w:r w:rsidRPr="001F32D4">
        <w:t>s</w:t>
      </w:r>
      <w:r w:rsidRPr="001F32D4" w:rsidR="00014566">
        <w:t xml:space="preserve"> complained </w:t>
      </w:r>
      <w:r w:rsidRPr="001F32D4" w:rsidR="00F31728">
        <w:t>about the continued failure of the Russian authorities</w:t>
      </w:r>
      <w:r w:rsidRPr="001F32D4" w:rsidR="00025C5F">
        <w:t xml:space="preserve"> </w:t>
      </w:r>
      <w:r w:rsidRPr="001F32D4" w:rsidR="00F31728">
        <w:t>to discharge their obligations arising out of the</w:t>
      </w:r>
      <w:r w:rsidRPr="001F32D4" w:rsidR="00A43C33">
        <w:t>ir</w:t>
      </w:r>
      <w:r w:rsidRPr="001F32D4" w:rsidR="00F31728">
        <w:t xml:space="preserve"> 1982 </w:t>
      </w:r>
      <w:r w:rsidRPr="001F32D4" w:rsidR="00A43C33">
        <w:t xml:space="preserve">premium </w:t>
      </w:r>
      <w:r w:rsidRPr="001F32D4" w:rsidR="00F31728">
        <w:t>bonds, which had been recognised as part of Russia</w:t>
      </w:r>
      <w:r w:rsidRPr="001F32D4" w:rsidR="001F32D4">
        <w:t>’</w:t>
      </w:r>
      <w:r w:rsidRPr="001F32D4" w:rsidR="00F31728">
        <w:t xml:space="preserve">s internal debt. Article 1 of Protocol No. 1 </w:t>
      </w:r>
      <w:r w:rsidRPr="001F32D4" w:rsidR="00FC31AD">
        <w:t xml:space="preserve">to the Convention </w:t>
      </w:r>
      <w:r w:rsidRPr="001F32D4" w:rsidR="00F31728">
        <w:t>provides:</w:t>
      </w:r>
    </w:p>
    <w:p w:rsidRPr="001F32D4" w:rsidR="00F31728" w:rsidP="001F32D4" w:rsidRDefault="00F31728">
      <w:pPr>
        <w:pStyle w:val="ECHRParaQuote"/>
      </w:pPr>
      <w:r w:rsidRPr="001F32D4">
        <w:t>“Every natural or legal person is entitled to the peaceful enjoyment of his possessions. No one shall be deprived of his possessions except in the public interest and subject to the conditions provided for by law and by the general principles of international law.</w:t>
      </w:r>
    </w:p>
    <w:p w:rsidRPr="001F32D4" w:rsidR="00F31728" w:rsidP="001F32D4" w:rsidRDefault="00F31728">
      <w:pPr>
        <w:pStyle w:val="ECHRParaQuote"/>
      </w:pPr>
      <w:r w:rsidRPr="001F32D4">
        <w:t>The preceding provisions shall not, however, in any way impair the right of a State to enforce such laws as it deems necessary to control the use of property in accordance with the general interest or to secure the payment of taxes or other contributions or penalties.”</w:t>
      </w:r>
    </w:p>
    <w:p w:rsidRPr="001F32D4" w:rsidR="00014566" w:rsidP="001F32D4" w:rsidRDefault="00014566">
      <w:pPr>
        <w:pStyle w:val="ECHRHeading2"/>
      </w:pPr>
      <w:r w:rsidRPr="001F32D4">
        <w:t>A.  Admissibility</w:t>
      </w:r>
    </w:p>
    <w:p w:rsidRPr="001F32D4" w:rsidR="00014566" w:rsidP="001F32D4" w:rsidRDefault="00FD03DD">
      <w:pPr>
        <w:pStyle w:val="ECHRPara"/>
      </w:pPr>
      <w:r w:rsidRPr="001F32D4">
        <w:fldChar w:fldCharType="begin"/>
      </w:r>
      <w:r w:rsidRPr="001F32D4">
        <w:instrText xml:space="preserve"> SEQ level0 \*arabic </w:instrText>
      </w:r>
      <w:r w:rsidRPr="001F32D4">
        <w:fldChar w:fldCharType="separate"/>
      </w:r>
      <w:r w:rsidRPr="001F32D4" w:rsidR="001F32D4">
        <w:rPr>
          <w:noProof/>
        </w:rPr>
        <w:t>17</w:t>
      </w:r>
      <w:r w:rsidRPr="001F32D4">
        <w:fldChar w:fldCharType="end"/>
      </w:r>
      <w:r w:rsidRPr="001F32D4" w:rsidR="00014566">
        <w:t xml:space="preserve">.  The Court notes that the </w:t>
      </w:r>
      <w:r w:rsidRPr="001F32D4" w:rsidR="00F31728">
        <w:t>complaint</w:t>
      </w:r>
      <w:r w:rsidRPr="001F32D4" w:rsidR="000774D6">
        <w:t xml:space="preserve"> </w:t>
      </w:r>
      <w:r w:rsidRPr="001F32D4" w:rsidR="00014566">
        <w:t>is not manifestly ill-founded within the meaning of Article 35 § 3 (a) of the Convention. It further notes that it is not inadmissible on any other grounds. It must therefore be declared admissible.</w:t>
      </w:r>
    </w:p>
    <w:p w:rsidRPr="001F32D4" w:rsidR="00014566" w:rsidP="001F32D4" w:rsidRDefault="00014566">
      <w:pPr>
        <w:pStyle w:val="ECHRHeading2"/>
      </w:pPr>
      <w:r w:rsidRPr="001F32D4">
        <w:t>B.  Merits</w:t>
      </w:r>
    </w:p>
    <w:p w:rsidRPr="001F32D4" w:rsidR="000F14BE" w:rsidP="001F32D4" w:rsidRDefault="000F14BE">
      <w:pPr>
        <w:pStyle w:val="ECHRHeading3"/>
      </w:pPr>
      <w:r w:rsidRPr="001F32D4">
        <w:t>1.  Submissions by the parties</w:t>
      </w:r>
    </w:p>
    <w:p w:rsidRPr="001F32D4" w:rsidR="00822DAC" w:rsidP="001F32D4" w:rsidRDefault="00194897">
      <w:pPr>
        <w:pStyle w:val="ECHRPara"/>
        <w:rPr>
          <w:snapToGrid w:val="0"/>
        </w:rPr>
      </w:pPr>
      <w:r w:rsidRPr="001F32D4">
        <w:fldChar w:fldCharType="begin"/>
      </w:r>
      <w:r w:rsidRPr="001F32D4">
        <w:instrText xml:space="preserve"> SEQ level0 \*arabic </w:instrText>
      </w:r>
      <w:r w:rsidRPr="001F32D4">
        <w:fldChar w:fldCharType="separate"/>
      </w:r>
      <w:r w:rsidRPr="001F32D4" w:rsidR="001F32D4">
        <w:rPr>
          <w:noProof/>
        </w:rPr>
        <w:t>18</w:t>
      </w:r>
      <w:r w:rsidRPr="001F32D4">
        <w:fldChar w:fldCharType="end"/>
      </w:r>
      <w:r w:rsidRPr="001F32D4">
        <w:t>.  </w:t>
      </w:r>
      <w:r w:rsidRPr="001F32D4" w:rsidR="005A5CA6">
        <w:t>Referring to the Constitutional Court</w:t>
      </w:r>
      <w:r w:rsidRPr="001F32D4" w:rsidR="001F32D4">
        <w:t>’</w:t>
      </w:r>
      <w:r w:rsidRPr="001F32D4" w:rsidR="005A5CA6">
        <w:t xml:space="preserve">s decision on </w:t>
      </w:r>
      <w:r w:rsidRPr="001F32D4" w:rsidR="00721D51">
        <w:t xml:space="preserve">Mr </w:t>
      </w:r>
      <w:proofErr w:type="spellStart"/>
      <w:r w:rsidRPr="001F32D4" w:rsidR="005A5CA6">
        <w:t>Losyakov</w:t>
      </w:r>
      <w:proofErr w:type="spellEnd"/>
      <w:r w:rsidRPr="001F32D4" w:rsidR="00721D51">
        <w:t xml:space="preserve"> and Ms </w:t>
      </w:r>
      <w:proofErr w:type="spellStart"/>
      <w:r w:rsidRPr="001F32D4" w:rsidR="00721D51">
        <w:t>Losyakova</w:t>
      </w:r>
      <w:r w:rsidRPr="001F32D4" w:rsidR="001F32D4">
        <w:t>’</w:t>
      </w:r>
      <w:r w:rsidRPr="001F32D4" w:rsidR="00721D51">
        <w:t>s</w:t>
      </w:r>
      <w:proofErr w:type="spellEnd"/>
      <w:r w:rsidRPr="001F32D4" w:rsidR="005A5CA6">
        <w:t xml:space="preserve"> claim (see paragraph </w:t>
      </w:r>
      <w:r w:rsidRPr="001F32D4" w:rsidR="005A5CA6">
        <w:fldChar w:fldCharType="begin"/>
      </w:r>
      <w:r w:rsidRPr="001F32D4" w:rsidR="005A5CA6">
        <w:instrText xml:space="preserve"> REF constcourt3apr2012 \h </w:instrText>
      </w:r>
      <w:r w:rsidRPr="001F32D4" w:rsidR="005A5CA6">
        <w:fldChar w:fldCharType="separate"/>
      </w:r>
      <w:r w:rsidRPr="001F32D4" w:rsidR="001F32D4">
        <w:rPr>
          <w:noProof/>
          <w:szCs w:val="24"/>
        </w:rPr>
        <w:t>14</w:t>
      </w:r>
      <w:r w:rsidRPr="001F32D4" w:rsidR="005A5CA6">
        <w:fldChar w:fldCharType="end"/>
      </w:r>
      <w:r w:rsidRPr="001F32D4" w:rsidR="005A5CA6">
        <w:t xml:space="preserve"> above) and the Court</w:t>
      </w:r>
      <w:r w:rsidRPr="001F32D4" w:rsidR="001F32D4">
        <w:t>’</w:t>
      </w:r>
      <w:r w:rsidRPr="001F32D4" w:rsidR="005A5CA6">
        <w:t xml:space="preserve">s case-law </w:t>
      </w:r>
      <w:r w:rsidRPr="001F32D4" w:rsidR="00F31728">
        <w:t>(</w:t>
      </w:r>
      <w:proofErr w:type="spellStart"/>
      <w:r w:rsidRPr="001F32D4" w:rsidR="00F31728">
        <w:rPr>
          <w:i/>
        </w:rPr>
        <w:t>Malysh</w:t>
      </w:r>
      <w:proofErr w:type="spellEnd"/>
      <w:r w:rsidRPr="001F32D4" w:rsidR="00F31728">
        <w:rPr>
          <w:i/>
        </w:rPr>
        <w:t xml:space="preserve"> and Others v. Russia</w:t>
      </w:r>
      <w:r w:rsidRPr="001F32D4" w:rsidR="00F31728">
        <w:t>, no. 30280/03</w:t>
      </w:r>
      <w:r w:rsidRPr="001F32D4" w:rsidR="00F31728">
        <w:rPr>
          <w:snapToGrid w:val="0"/>
        </w:rPr>
        <w:t>, § 80, 11 February 2010)</w:t>
      </w:r>
      <w:r w:rsidRPr="001F32D4" w:rsidR="005A5CA6">
        <w:t xml:space="preserve">, the Government submitted that </w:t>
      </w:r>
      <w:r w:rsidRPr="001F32D4" w:rsidR="00F31728">
        <w:t xml:space="preserve">the domestic authorities should have a wide discretion in matters of economic or social strategy and that </w:t>
      </w:r>
      <w:r w:rsidRPr="001F32D4" w:rsidR="005A5CA6">
        <w:t xml:space="preserve">favouring expenditure on pressing social issues to the detriment of claims </w:t>
      </w:r>
      <w:r w:rsidRPr="001F32D4" w:rsidR="00721D51">
        <w:t xml:space="preserve">of </w:t>
      </w:r>
      <w:r w:rsidRPr="001F32D4" w:rsidR="005A5CA6">
        <w:t>a purely pecuniary nature was a legitimate aim in the public interest</w:t>
      </w:r>
      <w:r w:rsidRPr="001F32D4" w:rsidR="005A5CA6">
        <w:rPr>
          <w:snapToGrid w:val="0"/>
        </w:rPr>
        <w:t>. The</w:t>
      </w:r>
      <w:r w:rsidRPr="001F32D4" w:rsidR="00721D51">
        <w:rPr>
          <w:snapToGrid w:val="0"/>
        </w:rPr>
        <w:t>y</w:t>
      </w:r>
      <w:r w:rsidRPr="001F32D4" w:rsidR="005A5CA6">
        <w:rPr>
          <w:snapToGrid w:val="0"/>
        </w:rPr>
        <w:t xml:space="preserve"> further claimed that the applicants had not suffered any </w:t>
      </w:r>
      <w:r w:rsidRPr="001F32D4" w:rsidR="007469E4">
        <w:rPr>
          <w:snapToGrid w:val="0"/>
        </w:rPr>
        <w:t>loss</w:t>
      </w:r>
      <w:r w:rsidRPr="001F32D4" w:rsidR="005A5CA6">
        <w:rPr>
          <w:snapToGrid w:val="0"/>
        </w:rPr>
        <w:t xml:space="preserve"> of property because they </w:t>
      </w:r>
      <w:r w:rsidRPr="001F32D4" w:rsidR="000C7252">
        <w:rPr>
          <w:snapToGrid w:val="0"/>
        </w:rPr>
        <w:t>could have taken advantage of</w:t>
      </w:r>
      <w:r w:rsidRPr="001F32D4" w:rsidR="005A5CA6">
        <w:rPr>
          <w:snapToGrid w:val="0"/>
        </w:rPr>
        <w:t xml:space="preserve"> the buy-</w:t>
      </w:r>
      <w:r w:rsidRPr="001F32D4" w:rsidR="00F31728">
        <w:rPr>
          <w:snapToGrid w:val="0"/>
        </w:rPr>
        <w:t xml:space="preserve">back </w:t>
      </w:r>
      <w:r w:rsidRPr="001F32D4" w:rsidR="005A5CA6">
        <w:rPr>
          <w:snapToGrid w:val="0"/>
        </w:rPr>
        <w:t>or exchange scheme in 1992.</w:t>
      </w:r>
      <w:r w:rsidRPr="001F32D4" w:rsidR="000C7252">
        <w:rPr>
          <w:snapToGrid w:val="0"/>
        </w:rPr>
        <w:t xml:space="preserve"> According to the Savings Bank, </w:t>
      </w:r>
      <w:r w:rsidRPr="001F32D4" w:rsidR="00721D51">
        <w:rPr>
          <w:snapToGrid w:val="0"/>
        </w:rPr>
        <w:t xml:space="preserve">the </w:t>
      </w:r>
      <w:r w:rsidRPr="001F32D4" w:rsidR="000C7252">
        <w:rPr>
          <w:snapToGrid w:val="0"/>
        </w:rPr>
        <w:t xml:space="preserve">total value of bonds </w:t>
      </w:r>
      <w:r w:rsidRPr="001F32D4" w:rsidR="00BF5F86">
        <w:rPr>
          <w:snapToGrid w:val="0"/>
        </w:rPr>
        <w:t>placed</w:t>
      </w:r>
      <w:r w:rsidRPr="001F32D4" w:rsidR="000C7252">
        <w:rPr>
          <w:snapToGrid w:val="0"/>
        </w:rPr>
        <w:t xml:space="preserve"> before 1 January 1992 in the Russian territory </w:t>
      </w:r>
      <w:r w:rsidRPr="001F32D4" w:rsidR="000A6495">
        <w:rPr>
          <w:snapToGrid w:val="0"/>
        </w:rPr>
        <w:t xml:space="preserve">had been </w:t>
      </w:r>
      <w:r w:rsidRPr="001F32D4" w:rsidR="002C7AAE">
        <w:rPr>
          <w:snapToGrid w:val="0"/>
        </w:rPr>
        <w:t xml:space="preserve">SUR </w:t>
      </w:r>
      <w:r w:rsidRPr="001F32D4" w:rsidR="00931D34">
        <w:rPr>
          <w:snapToGrid w:val="0"/>
        </w:rPr>
        <w:t>9</w:t>
      </w:r>
      <w:r w:rsidRPr="001F32D4" w:rsidR="00F31728">
        <w:rPr>
          <w:snapToGrid w:val="0"/>
        </w:rPr>
        <w:t> </w:t>
      </w:r>
      <w:r w:rsidRPr="001F32D4" w:rsidR="00931D34">
        <w:rPr>
          <w:snapToGrid w:val="0"/>
        </w:rPr>
        <w:t>billion</w:t>
      </w:r>
      <w:r w:rsidRPr="001F32D4" w:rsidR="000C7252">
        <w:rPr>
          <w:snapToGrid w:val="0"/>
        </w:rPr>
        <w:t>, while the buy-</w:t>
      </w:r>
      <w:r w:rsidRPr="001F32D4" w:rsidR="00931D34">
        <w:rPr>
          <w:snapToGrid w:val="0"/>
        </w:rPr>
        <w:t>back</w:t>
      </w:r>
      <w:r w:rsidRPr="001F32D4" w:rsidR="000C7252">
        <w:rPr>
          <w:snapToGrid w:val="0"/>
        </w:rPr>
        <w:t xml:space="preserve"> operation in 1992</w:t>
      </w:r>
      <w:r w:rsidRPr="001F32D4" w:rsidR="00561007">
        <w:rPr>
          <w:snapToGrid w:val="0"/>
        </w:rPr>
        <w:t xml:space="preserve"> to </w:t>
      </w:r>
      <w:r w:rsidRPr="001F32D4" w:rsidR="000C7252">
        <w:rPr>
          <w:snapToGrid w:val="0"/>
        </w:rPr>
        <w:t>1995</w:t>
      </w:r>
      <w:r w:rsidRPr="001F32D4" w:rsidR="001C1AAD">
        <w:rPr>
          <w:snapToGrid w:val="0"/>
        </w:rPr>
        <w:t xml:space="preserve"> had</w:t>
      </w:r>
      <w:r w:rsidRPr="001F32D4" w:rsidR="000C7252">
        <w:rPr>
          <w:snapToGrid w:val="0"/>
        </w:rPr>
        <w:t xml:space="preserve"> resulted in the purchase or exchange of bonds </w:t>
      </w:r>
      <w:r w:rsidRPr="001F32D4" w:rsidR="00721D51">
        <w:rPr>
          <w:snapToGrid w:val="0"/>
        </w:rPr>
        <w:t xml:space="preserve">with </w:t>
      </w:r>
      <w:r w:rsidRPr="001F32D4" w:rsidR="000C7252">
        <w:rPr>
          <w:snapToGrid w:val="0"/>
        </w:rPr>
        <w:t xml:space="preserve">a total value of </w:t>
      </w:r>
      <w:r w:rsidRPr="001F32D4" w:rsidR="00931D34">
        <w:rPr>
          <w:snapToGrid w:val="0"/>
        </w:rPr>
        <w:t>12.1 billion</w:t>
      </w:r>
      <w:r w:rsidRPr="001F32D4" w:rsidR="005F3705">
        <w:rPr>
          <w:snapToGrid w:val="0"/>
        </w:rPr>
        <w:t xml:space="preserve"> “new”</w:t>
      </w:r>
      <w:r w:rsidRPr="001F32D4" w:rsidR="00880E4C">
        <w:rPr>
          <w:snapToGrid w:val="0"/>
        </w:rPr>
        <w:t xml:space="preserve"> Russian roubles (RUR)</w:t>
      </w:r>
      <w:r w:rsidRPr="001F32D4" w:rsidR="000C7252">
        <w:rPr>
          <w:snapToGrid w:val="0"/>
        </w:rPr>
        <w:t xml:space="preserve">. The excess was accounted for by the inflow of bonds from </w:t>
      </w:r>
      <w:r w:rsidRPr="001F32D4" w:rsidR="00822DAC">
        <w:rPr>
          <w:snapToGrid w:val="0"/>
        </w:rPr>
        <w:t xml:space="preserve">newly independent States </w:t>
      </w:r>
      <w:r w:rsidRPr="001F32D4" w:rsidR="000C7252">
        <w:rPr>
          <w:snapToGrid w:val="0"/>
        </w:rPr>
        <w:t xml:space="preserve">outside Russia. </w:t>
      </w:r>
      <w:r w:rsidRPr="001F32D4" w:rsidR="000C58BD">
        <w:rPr>
          <w:snapToGrid w:val="0"/>
        </w:rPr>
        <w:t>As the s</w:t>
      </w:r>
      <w:r w:rsidRPr="001F32D4" w:rsidR="00822DAC">
        <w:rPr>
          <w:snapToGrid w:val="0"/>
        </w:rPr>
        <w:t xml:space="preserve">eries and numbers of bonds </w:t>
      </w:r>
      <w:r w:rsidRPr="001F32D4" w:rsidR="000C58BD">
        <w:rPr>
          <w:snapToGrid w:val="0"/>
        </w:rPr>
        <w:t>had not been</w:t>
      </w:r>
      <w:r w:rsidRPr="001F32D4" w:rsidR="00822DAC">
        <w:rPr>
          <w:snapToGrid w:val="0"/>
        </w:rPr>
        <w:t xml:space="preserve"> recorded at the time of initial placement, it was no longer possible to establish when and where they had been purchased and </w:t>
      </w:r>
      <w:r w:rsidRPr="001F32D4" w:rsidR="000C58BD">
        <w:rPr>
          <w:snapToGrid w:val="0"/>
        </w:rPr>
        <w:t xml:space="preserve">by </w:t>
      </w:r>
      <w:r w:rsidRPr="001F32D4" w:rsidR="00822DAC">
        <w:rPr>
          <w:snapToGrid w:val="0"/>
        </w:rPr>
        <w:t>who</w:t>
      </w:r>
      <w:r w:rsidRPr="001F32D4" w:rsidR="000C58BD">
        <w:rPr>
          <w:snapToGrid w:val="0"/>
        </w:rPr>
        <w:t>m</w:t>
      </w:r>
      <w:r w:rsidRPr="001F32D4" w:rsidR="00561007">
        <w:rPr>
          <w:snapToGrid w:val="0"/>
        </w:rPr>
        <w:t xml:space="preserve"> initially</w:t>
      </w:r>
      <w:r w:rsidRPr="001F32D4" w:rsidR="00822DAC">
        <w:rPr>
          <w:snapToGrid w:val="0"/>
        </w:rPr>
        <w:t>.</w:t>
      </w:r>
      <w:r w:rsidRPr="001F32D4" w:rsidR="002407EA">
        <w:rPr>
          <w:snapToGrid w:val="0"/>
        </w:rPr>
        <w:t xml:space="preserve"> Lastly, the Government submitted that Russia</w:t>
      </w:r>
      <w:r w:rsidRPr="001F32D4" w:rsidR="001F32D4">
        <w:rPr>
          <w:snapToGrid w:val="0"/>
        </w:rPr>
        <w:t>’</w:t>
      </w:r>
      <w:r w:rsidRPr="001F32D4" w:rsidR="002407EA">
        <w:rPr>
          <w:snapToGrid w:val="0"/>
        </w:rPr>
        <w:t xml:space="preserve">s obligations to the holders of 1982 </w:t>
      </w:r>
      <w:r w:rsidRPr="001F32D4" w:rsidR="00A43C33">
        <w:rPr>
          <w:snapToGrid w:val="0"/>
        </w:rPr>
        <w:t xml:space="preserve">premium </w:t>
      </w:r>
      <w:r w:rsidRPr="001F32D4" w:rsidR="002407EA">
        <w:rPr>
          <w:snapToGrid w:val="0"/>
        </w:rPr>
        <w:t xml:space="preserve">bonds </w:t>
      </w:r>
      <w:r w:rsidRPr="001F32D4" w:rsidR="00C67629">
        <w:rPr>
          <w:snapToGrid w:val="0"/>
        </w:rPr>
        <w:t>were maintained</w:t>
      </w:r>
      <w:r w:rsidRPr="001F32D4" w:rsidR="002407EA">
        <w:rPr>
          <w:snapToGrid w:val="0"/>
        </w:rPr>
        <w:t xml:space="preserve">. </w:t>
      </w:r>
      <w:r w:rsidRPr="001F32D4" w:rsidR="000C58BD">
        <w:rPr>
          <w:snapToGrid w:val="0"/>
        </w:rPr>
        <w:t>The r</w:t>
      </w:r>
      <w:r w:rsidRPr="001F32D4" w:rsidR="002407EA">
        <w:rPr>
          <w:snapToGrid w:val="0"/>
        </w:rPr>
        <w:t xml:space="preserve">elevant laws and regulations </w:t>
      </w:r>
      <w:r w:rsidRPr="001F32D4" w:rsidR="008F6762">
        <w:rPr>
          <w:snapToGrid w:val="0"/>
        </w:rPr>
        <w:t xml:space="preserve">had been </w:t>
      </w:r>
      <w:r w:rsidRPr="001F32D4" w:rsidR="002407EA">
        <w:rPr>
          <w:snapToGrid w:val="0"/>
        </w:rPr>
        <w:t xml:space="preserve">suspended because of </w:t>
      </w:r>
      <w:r w:rsidRPr="001F32D4" w:rsidR="001C1AAD">
        <w:rPr>
          <w:snapToGrid w:val="0"/>
        </w:rPr>
        <w:t xml:space="preserve">the </w:t>
      </w:r>
      <w:r w:rsidRPr="001F32D4" w:rsidR="002407EA">
        <w:rPr>
          <w:snapToGrid w:val="0"/>
        </w:rPr>
        <w:t xml:space="preserve">limited resources of the federal budget. Redeeming the bonds at the present time would prevent the State from </w:t>
      </w:r>
      <w:r w:rsidRPr="001F32D4" w:rsidR="00FB7C4E">
        <w:rPr>
          <w:snapToGrid w:val="0"/>
        </w:rPr>
        <w:t>fulfilling</w:t>
      </w:r>
      <w:r w:rsidRPr="001F32D4" w:rsidR="00C67629">
        <w:rPr>
          <w:snapToGrid w:val="0"/>
        </w:rPr>
        <w:t xml:space="preserve"> </w:t>
      </w:r>
      <w:r w:rsidRPr="001F32D4" w:rsidR="002407EA">
        <w:rPr>
          <w:snapToGrid w:val="0"/>
        </w:rPr>
        <w:t xml:space="preserve">its social </w:t>
      </w:r>
      <w:r w:rsidRPr="001F32D4" w:rsidR="00C67629">
        <w:rPr>
          <w:snapToGrid w:val="0"/>
        </w:rPr>
        <w:t xml:space="preserve">commitments </w:t>
      </w:r>
      <w:r w:rsidRPr="001F32D4" w:rsidR="002407EA">
        <w:rPr>
          <w:snapToGrid w:val="0"/>
        </w:rPr>
        <w:t>to Russian citizens and developing the Russian economy.</w:t>
      </w:r>
    </w:p>
    <w:p w:rsidRPr="001F32D4" w:rsidR="00680D1E" w:rsidP="001F32D4" w:rsidRDefault="00680D1E">
      <w:pPr>
        <w:pStyle w:val="ECHRPara"/>
        <w:rPr>
          <w:snapToGrid w:val="0"/>
        </w:rPr>
      </w:pPr>
      <w:r w:rsidRPr="001F32D4">
        <w:rPr>
          <w:snapToGrid w:val="0"/>
        </w:rPr>
        <w:fldChar w:fldCharType="begin"/>
      </w:r>
      <w:r w:rsidRPr="001F32D4">
        <w:rPr>
          <w:snapToGrid w:val="0"/>
        </w:rPr>
        <w:instrText xml:space="preserve"> SEQ level0 \*arabic </w:instrText>
      </w:r>
      <w:r w:rsidRPr="001F32D4">
        <w:rPr>
          <w:snapToGrid w:val="0"/>
        </w:rPr>
        <w:fldChar w:fldCharType="separate"/>
      </w:r>
      <w:r w:rsidRPr="001F32D4" w:rsidR="001F32D4">
        <w:rPr>
          <w:noProof/>
          <w:snapToGrid w:val="0"/>
        </w:rPr>
        <w:t>19</w:t>
      </w:r>
      <w:r w:rsidRPr="001F32D4">
        <w:rPr>
          <w:snapToGrid w:val="0"/>
        </w:rPr>
        <w:fldChar w:fldCharType="end"/>
      </w:r>
      <w:r w:rsidRPr="001F32D4">
        <w:rPr>
          <w:snapToGrid w:val="0"/>
        </w:rPr>
        <w:t xml:space="preserve">.  The applicants submitted </w:t>
      </w:r>
      <w:r w:rsidRPr="001F32D4" w:rsidR="00907ED0">
        <w:rPr>
          <w:snapToGrid w:val="0"/>
        </w:rPr>
        <w:t xml:space="preserve">that the Russian </w:t>
      </w:r>
      <w:r w:rsidRPr="001F32D4" w:rsidR="00E77B4B">
        <w:rPr>
          <w:snapToGrid w:val="0"/>
        </w:rPr>
        <w:t xml:space="preserve">authorities </w:t>
      </w:r>
      <w:r w:rsidRPr="001F32D4" w:rsidR="000C58BD">
        <w:rPr>
          <w:snapToGrid w:val="0"/>
        </w:rPr>
        <w:t xml:space="preserve">had </w:t>
      </w:r>
      <w:r w:rsidRPr="001F32D4" w:rsidR="00907ED0">
        <w:rPr>
          <w:snapToGrid w:val="0"/>
        </w:rPr>
        <w:t xml:space="preserve">breached their property rights by </w:t>
      </w:r>
      <w:r w:rsidRPr="001F32D4" w:rsidR="00B46F83">
        <w:rPr>
          <w:snapToGrid w:val="0"/>
        </w:rPr>
        <w:t>continuously</w:t>
      </w:r>
      <w:r w:rsidRPr="001F32D4" w:rsidR="00907ED0">
        <w:rPr>
          <w:snapToGrid w:val="0"/>
        </w:rPr>
        <w:t xml:space="preserve"> suspending the </w:t>
      </w:r>
      <w:r w:rsidRPr="001F32D4" w:rsidR="001F3E11">
        <w:rPr>
          <w:snapToGrid w:val="0"/>
        </w:rPr>
        <w:t xml:space="preserve">implementation </w:t>
      </w:r>
      <w:r w:rsidRPr="001F32D4" w:rsidR="00907ED0">
        <w:rPr>
          <w:snapToGrid w:val="0"/>
        </w:rPr>
        <w:t xml:space="preserve">of the </w:t>
      </w:r>
      <w:r w:rsidRPr="001F32D4" w:rsidR="00385F0A">
        <w:rPr>
          <w:snapToGrid w:val="0"/>
        </w:rPr>
        <w:t>relevant laws and regulations</w:t>
      </w:r>
      <w:r w:rsidRPr="001F32D4" w:rsidR="00907ED0">
        <w:rPr>
          <w:snapToGrid w:val="0"/>
        </w:rPr>
        <w:t xml:space="preserve">. The obligations </w:t>
      </w:r>
      <w:r w:rsidRPr="001F32D4" w:rsidR="00FE3AD2">
        <w:rPr>
          <w:snapToGrid w:val="0"/>
        </w:rPr>
        <w:t xml:space="preserve">the Russian </w:t>
      </w:r>
      <w:r w:rsidRPr="001F32D4" w:rsidR="00E77B4B">
        <w:rPr>
          <w:snapToGrid w:val="0"/>
        </w:rPr>
        <w:t xml:space="preserve">authorities </w:t>
      </w:r>
      <w:r w:rsidRPr="001F32D4" w:rsidR="00FE3AD2">
        <w:rPr>
          <w:snapToGrid w:val="0"/>
        </w:rPr>
        <w:t>had taken upon them</w:t>
      </w:r>
      <w:r w:rsidRPr="001F32D4" w:rsidR="00E77B4B">
        <w:rPr>
          <w:snapToGrid w:val="0"/>
        </w:rPr>
        <w:t>selves</w:t>
      </w:r>
      <w:r w:rsidRPr="001F32D4" w:rsidR="00FE3AD2">
        <w:rPr>
          <w:snapToGrid w:val="0"/>
        </w:rPr>
        <w:t xml:space="preserve"> had to be fulfilled so long as there </w:t>
      </w:r>
      <w:r w:rsidRPr="001F32D4" w:rsidR="000C58BD">
        <w:rPr>
          <w:snapToGrid w:val="0"/>
        </w:rPr>
        <w:t>was</w:t>
      </w:r>
      <w:r w:rsidRPr="001F32D4" w:rsidR="00FE3AD2">
        <w:rPr>
          <w:snapToGrid w:val="0"/>
        </w:rPr>
        <w:t xml:space="preserve"> no emergency, </w:t>
      </w:r>
      <w:r w:rsidRPr="001F32D4" w:rsidR="00FE3AD2">
        <w:rPr>
          <w:i/>
          <w:snapToGrid w:val="0"/>
        </w:rPr>
        <w:t>force majeure</w:t>
      </w:r>
      <w:r w:rsidRPr="001F32D4" w:rsidR="00FE3AD2">
        <w:rPr>
          <w:snapToGrid w:val="0"/>
        </w:rPr>
        <w:t xml:space="preserve"> or other exceptional circumstances.</w:t>
      </w:r>
      <w:r w:rsidRPr="001F32D4" w:rsidR="00E77B4B">
        <w:rPr>
          <w:snapToGrid w:val="0"/>
        </w:rPr>
        <w:t xml:space="preserve"> Had the authorities acted in good faith, they would have converted the 1982 </w:t>
      </w:r>
      <w:r w:rsidRPr="001F32D4" w:rsidR="00A43C33">
        <w:rPr>
          <w:snapToGrid w:val="0"/>
        </w:rPr>
        <w:t xml:space="preserve">premium </w:t>
      </w:r>
      <w:r w:rsidRPr="001F32D4" w:rsidR="00E77B4B">
        <w:rPr>
          <w:snapToGrid w:val="0"/>
        </w:rPr>
        <w:t xml:space="preserve">bonds into the special promissory notes. That operation would have allowed them to establish the exact quantity of unredeemed bonds and the amount of funds required for their redemption and </w:t>
      </w:r>
      <w:r w:rsidRPr="001F32D4" w:rsidR="00385F0A">
        <w:rPr>
          <w:snapToGrid w:val="0"/>
        </w:rPr>
        <w:t xml:space="preserve">to </w:t>
      </w:r>
      <w:r w:rsidRPr="001F32D4" w:rsidR="00E77B4B">
        <w:rPr>
          <w:snapToGrid w:val="0"/>
        </w:rPr>
        <w:t xml:space="preserve">find a proper balance between </w:t>
      </w:r>
      <w:r w:rsidRPr="001F32D4" w:rsidR="007F35F3">
        <w:rPr>
          <w:snapToGrid w:val="0"/>
        </w:rPr>
        <w:t>that</w:t>
      </w:r>
      <w:r w:rsidRPr="001F32D4" w:rsidR="00E77B4B">
        <w:rPr>
          <w:snapToGrid w:val="0"/>
        </w:rPr>
        <w:t xml:space="preserve"> and other priority expenses. However, no such conversion had ever </w:t>
      </w:r>
      <w:r w:rsidRPr="001F32D4" w:rsidR="007F35F3">
        <w:rPr>
          <w:snapToGrid w:val="0"/>
        </w:rPr>
        <w:t>been carried out</w:t>
      </w:r>
      <w:r w:rsidRPr="001F32D4" w:rsidR="00E77B4B">
        <w:rPr>
          <w:snapToGrid w:val="0"/>
        </w:rPr>
        <w:t xml:space="preserve"> and the Russian authorities had adopted a passive approach to implementation of the entitlement of the bondholders.</w:t>
      </w:r>
      <w:r w:rsidRPr="001F32D4" w:rsidR="00931D34">
        <w:rPr>
          <w:snapToGrid w:val="0"/>
        </w:rPr>
        <w:t xml:space="preserve"> The applicants pointed out that the Government had incorrectly calculated the outcome of the buy-back operation. They had not taken into account that the bonds had been redeemed at 1.6 times their nominal value. If the total amount of redeemable bonds </w:t>
      </w:r>
      <w:r w:rsidRPr="001F32D4" w:rsidR="000A6495">
        <w:rPr>
          <w:snapToGrid w:val="0"/>
        </w:rPr>
        <w:t xml:space="preserve">had been </w:t>
      </w:r>
      <w:r w:rsidRPr="001F32D4" w:rsidR="00931D34">
        <w:rPr>
          <w:snapToGrid w:val="0"/>
        </w:rPr>
        <w:t xml:space="preserve">RUR 14.4 billion (the initial value of SUR 9 billion multiplied by 1.6) and the actual redeemed amount </w:t>
      </w:r>
      <w:r w:rsidRPr="001F32D4" w:rsidR="000A6495">
        <w:rPr>
          <w:snapToGrid w:val="0"/>
        </w:rPr>
        <w:t xml:space="preserve">had been </w:t>
      </w:r>
      <w:r w:rsidRPr="001F32D4" w:rsidR="00931D34">
        <w:rPr>
          <w:snapToGrid w:val="0"/>
        </w:rPr>
        <w:t>RUR 12.1 billion, the remainder of the outstanding bonds was equal to RUR 2.3 billion at the redemption price or RUR 1.44 billion (RUR 2.3 billion divided by 1.6) at the nominal value.</w:t>
      </w:r>
      <w:r w:rsidRPr="001F32D4" w:rsidR="00BF5F86">
        <w:rPr>
          <w:snapToGrid w:val="0"/>
        </w:rPr>
        <w:t xml:space="preserve"> The outstanding amount </w:t>
      </w:r>
      <w:r w:rsidRPr="001F32D4" w:rsidR="005A316D">
        <w:rPr>
          <w:snapToGrid w:val="0"/>
        </w:rPr>
        <w:t xml:space="preserve">was </w:t>
      </w:r>
      <w:r w:rsidRPr="001F32D4" w:rsidR="00F2488E">
        <w:rPr>
          <w:snapToGrid w:val="0"/>
        </w:rPr>
        <w:t xml:space="preserve">but </w:t>
      </w:r>
      <w:r w:rsidRPr="001F32D4" w:rsidR="00BF5F86">
        <w:rPr>
          <w:snapToGrid w:val="0"/>
        </w:rPr>
        <w:t>a small fraction of Russia</w:t>
      </w:r>
      <w:r w:rsidRPr="001F32D4" w:rsidR="001F32D4">
        <w:rPr>
          <w:snapToGrid w:val="0"/>
        </w:rPr>
        <w:t>’</w:t>
      </w:r>
      <w:r w:rsidRPr="001F32D4" w:rsidR="00BF5F86">
        <w:rPr>
          <w:snapToGrid w:val="0"/>
        </w:rPr>
        <w:t xml:space="preserve">s </w:t>
      </w:r>
      <w:r w:rsidRPr="001F32D4" w:rsidR="00F2488E">
        <w:rPr>
          <w:snapToGrid w:val="0"/>
        </w:rPr>
        <w:t xml:space="preserve">federal budget of approximately 14 trillion </w:t>
      </w:r>
      <w:r w:rsidRPr="001F32D4" w:rsidR="00AB04AC">
        <w:rPr>
          <w:snapToGrid w:val="0"/>
        </w:rPr>
        <w:t xml:space="preserve">Russian roubles (RUB) </w:t>
      </w:r>
      <w:r w:rsidRPr="001F32D4" w:rsidR="00F2488E">
        <w:rPr>
          <w:snapToGrid w:val="0"/>
        </w:rPr>
        <w:t xml:space="preserve">or the combined </w:t>
      </w:r>
      <w:r w:rsidRPr="001F32D4" w:rsidR="002160B5">
        <w:rPr>
          <w:snapToGrid w:val="0"/>
        </w:rPr>
        <w:t xml:space="preserve">value of the </w:t>
      </w:r>
      <w:r w:rsidRPr="001F32D4" w:rsidR="00F2488E">
        <w:rPr>
          <w:snapToGrid w:val="0"/>
        </w:rPr>
        <w:t xml:space="preserve">National Wealth and Reserve Funds of 10.9 trillion (2017). </w:t>
      </w:r>
      <w:r w:rsidRPr="001F32D4" w:rsidR="009E1613">
        <w:rPr>
          <w:snapToGrid w:val="0"/>
        </w:rPr>
        <w:t>As to the Government</w:t>
      </w:r>
      <w:r w:rsidRPr="001F32D4" w:rsidR="001F32D4">
        <w:rPr>
          <w:snapToGrid w:val="0"/>
        </w:rPr>
        <w:t>’</w:t>
      </w:r>
      <w:r w:rsidRPr="001F32D4" w:rsidR="009E1613">
        <w:rPr>
          <w:snapToGrid w:val="0"/>
        </w:rPr>
        <w:t xml:space="preserve">s argument </w:t>
      </w:r>
      <w:r w:rsidRPr="001F32D4" w:rsidR="007F5F74">
        <w:rPr>
          <w:snapToGrid w:val="0"/>
        </w:rPr>
        <w:t xml:space="preserve">about limited resources, the applicants pointed out that since 2000 the Russian State had run a budget surplus thanks to high oil prices. However, instead of settling their debt to internal creditors, such as the applicants, the authorities </w:t>
      </w:r>
      <w:r w:rsidRPr="001F32D4" w:rsidR="005A316D">
        <w:rPr>
          <w:snapToGrid w:val="0"/>
        </w:rPr>
        <w:t xml:space="preserve">had </w:t>
      </w:r>
      <w:r w:rsidRPr="001F32D4" w:rsidR="007F5F74">
        <w:rPr>
          <w:snapToGrid w:val="0"/>
        </w:rPr>
        <w:t>used money to buy foreign bonds or finance expensive high-level sports events.</w:t>
      </w:r>
    </w:p>
    <w:p w:rsidRPr="001F32D4" w:rsidR="002407EA" w:rsidP="001F32D4" w:rsidRDefault="000F14BE">
      <w:pPr>
        <w:pStyle w:val="ECHRHeading3"/>
        <w:rPr>
          <w:snapToGrid w:val="0"/>
        </w:rPr>
      </w:pPr>
      <w:r w:rsidRPr="001F32D4">
        <w:rPr>
          <w:snapToGrid w:val="0"/>
        </w:rPr>
        <w:t>2.  The Court</w:t>
      </w:r>
      <w:r w:rsidRPr="001F32D4" w:rsidR="001F32D4">
        <w:rPr>
          <w:snapToGrid w:val="0"/>
        </w:rPr>
        <w:t>’</w:t>
      </w:r>
      <w:r w:rsidRPr="001F32D4">
        <w:rPr>
          <w:snapToGrid w:val="0"/>
        </w:rPr>
        <w:t>s assessment</w:t>
      </w:r>
    </w:p>
    <w:bookmarkStart w:name="caselaw" w:id="9"/>
    <w:p w:rsidRPr="001F32D4" w:rsidR="001143E3" w:rsidP="001F32D4" w:rsidRDefault="000F14BE">
      <w:pPr>
        <w:pStyle w:val="ECHRPara"/>
        <w:rPr>
          <w:snapToGrid w:val="0"/>
        </w:rPr>
      </w:pPr>
      <w:r w:rsidRPr="001F32D4">
        <w:fldChar w:fldCharType="begin"/>
      </w:r>
      <w:r w:rsidRPr="001F32D4">
        <w:instrText xml:space="preserve"> SEQ level0 \*arabic </w:instrText>
      </w:r>
      <w:r w:rsidRPr="001F32D4">
        <w:fldChar w:fldCharType="separate"/>
      </w:r>
      <w:r w:rsidRPr="001F32D4" w:rsidR="001F32D4">
        <w:rPr>
          <w:noProof/>
        </w:rPr>
        <w:t>20</w:t>
      </w:r>
      <w:r w:rsidRPr="001F32D4">
        <w:fldChar w:fldCharType="end"/>
      </w:r>
      <w:bookmarkEnd w:id="9"/>
      <w:r w:rsidRPr="001F32D4">
        <w:t>.  </w:t>
      </w:r>
      <w:r w:rsidRPr="001F32D4" w:rsidR="005352F7">
        <w:t xml:space="preserve">The Court reiterates that it has </w:t>
      </w:r>
      <w:r w:rsidRPr="001F32D4" w:rsidR="00FF4A21">
        <w:t>found a violation of Article 1 of Protocol No. 1 in</w:t>
      </w:r>
      <w:r w:rsidRPr="001F32D4" w:rsidR="005352F7">
        <w:t xml:space="preserve"> a number of </w:t>
      </w:r>
      <w:r w:rsidRPr="001F32D4" w:rsidR="00AE5003">
        <w:t xml:space="preserve">similar </w:t>
      </w:r>
      <w:r w:rsidRPr="001F32D4" w:rsidR="005352F7">
        <w:t xml:space="preserve">applications against Russia. Some of them </w:t>
      </w:r>
      <w:r w:rsidRPr="001F32D4" w:rsidR="006919A7">
        <w:t xml:space="preserve">concerned the absence of implementing regulations for redemption of a different type of Russian bond, </w:t>
      </w:r>
      <w:r w:rsidRPr="001F32D4" w:rsidR="0085699E">
        <w:t xml:space="preserve">known as </w:t>
      </w:r>
      <w:r w:rsidRPr="001F32D4" w:rsidR="006919A7">
        <w:rPr>
          <w:i/>
        </w:rPr>
        <w:t>Urozhay-90</w:t>
      </w:r>
      <w:r w:rsidRPr="001F32D4" w:rsidR="00FE1201">
        <w:t xml:space="preserve"> (Harvest-90) bonds</w:t>
      </w:r>
      <w:r w:rsidRPr="001F32D4" w:rsidR="005352F7">
        <w:t xml:space="preserve"> (see </w:t>
      </w:r>
      <w:proofErr w:type="spellStart"/>
      <w:r w:rsidRPr="001F32D4" w:rsidR="005352F7">
        <w:rPr>
          <w:i/>
        </w:rPr>
        <w:t>Malysh</w:t>
      </w:r>
      <w:proofErr w:type="spellEnd"/>
      <w:r w:rsidRPr="001F32D4" w:rsidR="005352F7">
        <w:rPr>
          <w:i/>
        </w:rPr>
        <w:t xml:space="preserve"> and Others</w:t>
      </w:r>
      <w:r w:rsidRPr="001F32D4" w:rsidR="005352F7">
        <w:t xml:space="preserve">, cited above; </w:t>
      </w:r>
      <w:proofErr w:type="spellStart"/>
      <w:r w:rsidRPr="001F32D4" w:rsidR="005352F7">
        <w:rPr>
          <w:i/>
        </w:rPr>
        <w:t>Tronin</w:t>
      </w:r>
      <w:proofErr w:type="spellEnd"/>
      <w:r w:rsidRPr="001F32D4" w:rsidR="005352F7">
        <w:rPr>
          <w:i/>
        </w:rPr>
        <w:t xml:space="preserve"> v. Russia</w:t>
      </w:r>
      <w:r w:rsidRPr="001F32D4" w:rsidR="005352F7">
        <w:t>, no. 24461/02</w:t>
      </w:r>
      <w:r w:rsidRPr="001F32D4" w:rsidR="002E6C67">
        <w:rPr>
          <w:snapToGrid w:val="0"/>
        </w:rPr>
        <w:t>, 18 </w:t>
      </w:r>
      <w:r w:rsidRPr="001F32D4" w:rsidR="005352F7">
        <w:rPr>
          <w:snapToGrid w:val="0"/>
        </w:rPr>
        <w:t>March 2010</w:t>
      </w:r>
      <w:r w:rsidRPr="001F32D4" w:rsidR="005A316D">
        <w:rPr>
          <w:snapToGrid w:val="0"/>
        </w:rPr>
        <w:t xml:space="preserve">; </w:t>
      </w:r>
      <w:r w:rsidRPr="001F32D4" w:rsidR="005352F7">
        <w:rPr>
          <w:snapToGrid w:val="0"/>
        </w:rPr>
        <w:t xml:space="preserve">and </w:t>
      </w:r>
      <w:r w:rsidRPr="001F32D4" w:rsidR="005352F7">
        <w:rPr>
          <w:i/>
        </w:rPr>
        <w:t xml:space="preserve">SPK </w:t>
      </w:r>
      <w:proofErr w:type="spellStart"/>
      <w:r w:rsidRPr="001F32D4" w:rsidR="005352F7">
        <w:rPr>
          <w:i/>
        </w:rPr>
        <w:t>Dimskiy</w:t>
      </w:r>
      <w:proofErr w:type="spellEnd"/>
      <w:r w:rsidRPr="001F32D4" w:rsidR="005352F7">
        <w:rPr>
          <w:i/>
        </w:rPr>
        <w:t xml:space="preserve"> v.</w:t>
      </w:r>
      <w:r w:rsidRPr="001F32D4" w:rsidR="006919A7">
        <w:rPr>
          <w:i/>
        </w:rPr>
        <w:t> </w:t>
      </w:r>
      <w:r w:rsidRPr="001F32D4" w:rsidR="005352F7">
        <w:rPr>
          <w:i/>
        </w:rPr>
        <w:t>Russia</w:t>
      </w:r>
      <w:r w:rsidRPr="001F32D4" w:rsidR="005352F7">
        <w:t>, no. 27191/02</w:t>
      </w:r>
      <w:r w:rsidRPr="001F32D4" w:rsidR="005352F7">
        <w:rPr>
          <w:snapToGrid w:val="0"/>
        </w:rPr>
        <w:t>, 18 March 2010), while others related to non-fulfilment of the State</w:t>
      </w:r>
      <w:r w:rsidRPr="001F32D4" w:rsidR="001F32D4">
        <w:rPr>
          <w:snapToGrid w:val="0"/>
        </w:rPr>
        <w:t>’</w:t>
      </w:r>
      <w:r w:rsidRPr="001F32D4" w:rsidR="005352F7">
        <w:rPr>
          <w:snapToGrid w:val="0"/>
        </w:rPr>
        <w:t xml:space="preserve">s obligations arising out of the same 1982 loan </w:t>
      </w:r>
      <w:r w:rsidRPr="001F32D4" w:rsidR="00896E08">
        <w:rPr>
          <w:snapToGrid w:val="0"/>
        </w:rPr>
        <w:t>as</w:t>
      </w:r>
      <w:r w:rsidRPr="001F32D4" w:rsidR="005352F7">
        <w:rPr>
          <w:snapToGrid w:val="0"/>
        </w:rPr>
        <w:t xml:space="preserve"> </w:t>
      </w:r>
      <w:r w:rsidRPr="001F32D4" w:rsidR="00FE1201">
        <w:rPr>
          <w:snapToGrid w:val="0"/>
        </w:rPr>
        <w:t xml:space="preserve">in </w:t>
      </w:r>
      <w:r w:rsidRPr="001F32D4" w:rsidR="005352F7">
        <w:rPr>
          <w:snapToGrid w:val="0"/>
        </w:rPr>
        <w:t xml:space="preserve">the present case (see </w:t>
      </w:r>
      <w:r w:rsidRPr="001F32D4" w:rsidR="005352F7">
        <w:rPr>
          <w:i/>
        </w:rPr>
        <w:t xml:space="preserve">Yuriy </w:t>
      </w:r>
      <w:proofErr w:type="spellStart"/>
      <w:r w:rsidRPr="001F32D4" w:rsidR="005352F7">
        <w:rPr>
          <w:i/>
        </w:rPr>
        <w:t>Lobanov</w:t>
      </w:r>
      <w:proofErr w:type="spellEnd"/>
      <w:r w:rsidRPr="001F32D4" w:rsidR="005352F7">
        <w:t>, no.</w:t>
      </w:r>
      <w:r w:rsidRPr="001F32D4" w:rsidR="004A3F66">
        <w:t> </w:t>
      </w:r>
      <w:r w:rsidRPr="001F32D4" w:rsidR="005352F7">
        <w:t>15578/03, 2</w:t>
      </w:r>
      <w:r w:rsidRPr="001F32D4" w:rsidR="006919A7">
        <w:t> </w:t>
      </w:r>
      <w:r w:rsidRPr="001F32D4" w:rsidR="005352F7">
        <w:t xml:space="preserve">December 2010; </w:t>
      </w:r>
      <w:proofErr w:type="spellStart"/>
      <w:r w:rsidRPr="001F32D4" w:rsidR="005352F7">
        <w:rPr>
          <w:i/>
        </w:rPr>
        <w:t>Andreyeva</w:t>
      </w:r>
      <w:proofErr w:type="spellEnd"/>
      <w:r w:rsidRPr="001F32D4" w:rsidR="005352F7">
        <w:rPr>
          <w:i/>
        </w:rPr>
        <w:t xml:space="preserve"> v. Russia</w:t>
      </w:r>
      <w:r w:rsidRPr="001F32D4" w:rsidR="002E6C67">
        <w:t>, no. 73659/10, 10 </w:t>
      </w:r>
      <w:r w:rsidRPr="001F32D4" w:rsidR="005352F7">
        <w:t>April 2012</w:t>
      </w:r>
      <w:r w:rsidRPr="001F32D4" w:rsidR="00FE1201">
        <w:t xml:space="preserve">; </w:t>
      </w:r>
      <w:r w:rsidRPr="001F32D4" w:rsidR="005352F7">
        <w:t xml:space="preserve">and </w:t>
      </w:r>
      <w:proofErr w:type="spellStart"/>
      <w:r w:rsidRPr="001F32D4" w:rsidR="005352F7">
        <w:rPr>
          <w:i/>
        </w:rPr>
        <w:t>Fomin</w:t>
      </w:r>
      <w:proofErr w:type="spellEnd"/>
      <w:r w:rsidRPr="001F32D4" w:rsidR="005352F7">
        <w:rPr>
          <w:i/>
        </w:rPr>
        <w:t xml:space="preserve"> and Others v. Russia</w:t>
      </w:r>
      <w:r w:rsidRPr="001F32D4" w:rsidR="005352F7">
        <w:t>, no.</w:t>
      </w:r>
      <w:r w:rsidRPr="001F32D4" w:rsidR="00FF4A21">
        <w:t> </w:t>
      </w:r>
      <w:r w:rsidRPr="001F32D4" w:rsidR="005352F7">
        <w:t>34703/04</w:t>
      </w:r>
      <w:r w:rsidRPr="001F32D4" w:rsidR="005352F7">
        <w:rPr>
          <w:snapToGrid w:val="0"/>
        </w:rPr>
        <w:t>, 26 February 2013).</w:t>
      </w:r>
    </w:p>
    <w:p w:rsidRPr="001F32D4" w:rsidR="001143E3" w:rsidP="001F32D4" w:rsidRDefault="00FF4A21">
      <w:pPr>
        <w:pStyle w:val="ECHRPara"/>
        <w:rPr>
          <w:snapToGrid w:val="0"/>
        </w:rPr>
      </w:pPr>
      <w:r w:rsidRPr="001F32D4">
        <w:rPr>
          <w:snapToGrid w:val="0"/>
        </w:rPr>
        <w:fldChar w:fldCharType="begin"/>
      </w:r>
      <w:r w:rsidRPr="001F32D4">
        <w:rPr>
          <w:snapToGrid w:val="0"/>
        </w:rPr>
        <w:instrText xml:space="preserve"> SEQ level0 \*arabic </w:instrText>
      </w:r>
      <w:r w:rsidRPr="001F32D4">
        <w:rPr>
          <w:snapToGrid w:val="0"/>
        </w:rPr>
        <w:fldChar w:fldCharType="separate"/>
      </w:r>
      <w:r w:rsidRPr="001F32D4" w:rsidR="001F32D4">
        <w:rPr>
          <w:noProof/>
          <w:snapToGrid w:val="0"/>
        </w:rPr>
        <w:t>21</w:t>
      </w:r>
      <w:r w:rsidRPr="001F32D4">
        <w:rPr>
          <w:snapToGrid w:val="0"/>
        </w:rPr>
        <w:fldChar w:fldCharType="end"/>
      </w:r>
      <w:r w:rsidRPr="001F32D4">
        <w:rPr>
          <w:snapToGrid w:val="0"/>
        </w:rPr>
        <w:t>.  </w:t>
      </w:r>
      <w:r w:rsidRPr="001F32D4" w:rsidR="00FF7EDD">
        <w:rPr>
          <w:snapToGrid w:val="0"/>
        </w:rPr>
        <w:t>For</w:t>
      </w:r>
      <w:r w:rsidRPr="001F32D4">
        <w:rPr>
          <w:snapToGrid w:val="0"/>
        </w:rPr>
        <w:t xml:space="preserve"> the purposes </w:t>
      </w:r>
      <w:r w:rsidRPr="001F32D4" w:rsidR="00FF7EDD">
        <w:rPr>
          <w:snapToGrid w:val="0"/>
        </w:rPr>
        <w:t xml:space="preserve">of Article 1 of Protocol No. 1 </w:t>
      </w:r>
      <w:r w:rsidRPr="001F32D4" w:rsidR="00D8327B">
        <w:rPr>
          <w:snapToGrid w:val="0"/>
        </w:rPr>
        <w:t xml:space="preserve">the </w:t>
      </w:r>
      <w:r w:rsidRPr="001F32D4" w:rsidR="00FF7EDD">
        <w:rPr>
          <w:snapToGrid w:val="0"/>
        </w:rPr>
        <w:t>a</w:t>
      </w:r>
      <w:r w:rsidRPr="001F32D4">
        <w:rPr>
          <w:snapToGrid w:val="0"/>
        </w:rPr>
        <w:t>pplicants</w:t>
      </w:r>
      <w:r w:rsidRPr="001F32D4" w:rsidR="001F32D4">
        <w:rPr>
          <w:snapToGrid w:val="0"/>
        </w:rPr>
        <w:t>’</w:t>
      </w:r>
      <w:r w:rsidRPr="001F32D4">
        <w:rPr>
          <w:snapToGrid w:val="0"/>
        </w:rPr>
        <w:t xml:space="preserve"> “possessions” consist </w:t>
      </w:r>
      <w:r w:rsidRPr="001F32D4" w:rsidR="00302C57">
        <w:rPr>
          <w:snapToGrid w:val="0"/>
        </w:rPr>
        <w:t xml:space="preserve">of </w:t>
      </w:r>
      <w:r w:rsidRPr="001F32D4" w:rsidR="00480964">
        <w:rPr>
          <w:snapToGrid w:val="0"/>
        </w:rPr>
        <w:t xml:space="preserve">their </w:t>
      </w:r>
      <w:r w:rsidRPr="001F32D4">
        <w:rPr>
          <w:snapToGrid w:val="0"/>
        </w:rPr>
        <w:t>entitlement to obtain some form of compensation for, or redemption of, 1982</w:t>
      </w:r>
      <w:r w:rsidRPr="001F32D4" w:rsidR="00A43C33">
        <w:rPr>
          <w:snapToGrid w:val="0"/>
        </w:rPr>
        <w:t xml:space="preserve"> premium</w:t>
      </w:r>
      <w:r w:rsidRPr="001F32D4">
        <w:rPr>
          <w:snapToGrid w:val="0"/>
        </w:rPr>
        <w:t xml:space="preserve"> bonds</w:t>
      </w:r>
      <w:r w:rsidRPr="001F32D4" w:rsidR="00480964">
        <w:rPr>
          <w:snapToGrid w:val="0"/>
        </w:rPr>
        <w:t xml:space="preserve"> </w:t>
      </w:r>
      <w:r w:rsidRPr="001F32D4" w:rsidR="00E85859">
        <w:rPr>
          <w:snapToGrid w:val="0"/>
        </w:rPr>
        <w:t xml:space="preserve">which are currently in their possession </w:t>
      </w:r>
      <w:r w:rsidRPr="001F32D4" w:rsidR="00480964">
        <w:rPr>
          <w:snapToGrid w:val="0"/>
        </w:rPr>
        <w:t xml:space="preserve">(see </w:t>
      </w:r>
      <w:proofErr w:type="spellStart"/>
      <w:r w:rsidRPr="001F32D4" w:rsidR="00480964">
        <w:rPr>
          <w:i/>
          <w:snapToGrid w:val="0"/>
        </w:rPr>
        <w:t>Malysh</w:t>
      </w:r>
      <w:proofErr w:type="spellEnd"/>
      <w:r w:rsidRPr="001F32D4" w:rsidR="00480964">
        <w:rPr>
          <w:i/>
          <w:snapToGrid w:val="0"/>
        </w:rPr>
        <w:t xml:space="preserve"> and Others</w:t>
      </w:r>
      <w:r w:rsidRPr="001F32D4" w:rsidR="00480964">
        <w:rPr>
          <w:snapToGrid w:val="0"/>
        </w:rPr>
        <w:t xml:space="preserve">, §§ 67-71, and </w:t>
      </w:r>
      <w:r w:rsidRPr="001F32D4" w:rsidR="00480964">
        <w:rPr>
          <w:i/>
          <w:snapToGrid w:val="0"/>
        </w:rPr>
        <w:t xml:space="preserve">Yuriy </w:t>
      </w:r>
      <w:proofErr w:type="spellStart"/>
      <w:r w:rsidRPr="001F32D4" w:rsidR="00480964">
        <w:rPr>
          <w:i/>
          <w:snapToGrid w:val="0"/>
        </w:rPr>
        <w:t>Lobanov</w:t>
      </w:r>
      <w:proofErr w:type="spellEnd"/>
      <w:r w:rsidRPr="001F32D4" w:rsidR="002E6C67">
        <w:rPr>
          <w:snapToGrid w:val="0"/>
        </w:rPr>
        <w:t>, § </w:t>
      </w:r>
      <w:r w:rsidRPr="001F32D4" w:rsidR="00480964">
        <w:rPr>
          <w:snapToGrid w:val="0"/>
        </w:rPr>
        <w:t>45, both cited above)</w:t>
      </w:r>
      <w:r w:rsidRPr="001F32D4">
        <w:rPr>
          <w:snapToGrid w:val="0"/>
        </w:rPr>
        <w:t>.</w:t>
      </w:r>
      <w:r w:rsidRPr="001F32D4" w:rsidR="00480964">
        <w:rPr>
          <w:snapToGrid w:val="0"/>
        </w:rPr>
        <w:t xml:space="preserve"> By enacting the Savings Protection Act in 1995, the Russian State </w:t>
      </w:r>
      <w:r w:rsidRPr="001F32D4" w:rsidR="00381D52">
        <w:rPr>
          <w:snapToGrid w:val="0"/>
        </w:rPr>
        <w:t>took</w:t>
      </w:r>
      <w:r w:rsidRPr="001F32D4" w:rsidR="00480964">
        <w:rPr>
          <w:snapToGrid w:val="0"/>
        </w:rPr>
        <w:t xml:space="preserve"> upon itself an obligation to settle the debt arising out of the 1982</w:t>
      </w:r>
      <w:r w:rsidRPr="001F32D4" w:rsidR="00A43C33">
        <w:rPr>
          <w:snapToGrid w:val="0"/>
        </w:rPr>
        <w:t xml:space="preserve"> premium</w:t>
      </w:r>
      <w:r w:rsidRPr="001F32D4" w:rsidR="00FF7EDD">
        <w:rPr>
          <w:snapToGrid w:val="0"/>
        </w:rPr>
        <w:t xml:space="preserve"> bonds. Since that time</w:t>
      </w:r>
      <w:r w:rsidRPr="001F32D4" w:rsidR="00353322">
        <w:rPr>
          <w:snapToGrid w:val="0"/>
        </w:rPr>
        <w:t xml:space="preserve"> bond holders h</w:t>
      </w:r>
      <w:r w:rsidRPr="001F32D4" w:rsidR="00381D52">
        <w:rPr>
          <w:snapToGrid w:val="0"/>
        </w:rPr>
        <w:t xml:space="preserve">ave </w:t>
      </w:r>
      <w:r w:rsidRPr="001F32D4" w:rsidR="00480964">
        <w:rPr>
          <w:snapToGrid w:val="0"/>
        </w:rPr>
        <w:t xml:space="preserve">continuously held </w:t>
      </w:r>
      <w:r w:rsidRPr="001F32D4" w:rsidR="00474602">
        <w:rPr>
          <w:snapToGrid w:val="0"/>
        </w:rPr>
        <w:t xml:space="preserve">a claim </w:t>
      </w:r>
      <w:r w:rsidRPr="001F32D4" w:rsidR="00480964">
        <w:rPr>
          <w:snapToGrid w:val="0"/>
        </w:rPr>
        <w:t>against the Russian State which existed both on the date of ratification of Protocol No.</w:t>
      </w:r>
      <w:r w:rsidRPr="001F32D4" w:rsidR="002F163D">
        <w:rPr>
          <w:snapToGrid w:val="0"/>
          <w:lang w:val="en-US"/>
        </w:rPr>
        <w:t> </w:t>
      </w:r>
      <w:r w:rsidRPr="001F32D4" w:rsidR="00480964">
        <w:rPr>
          <w:snapToGrid w:val="0"/>
        </w:rPr>
        <w:t xml:space="preserve">1 by Russia </w:t>
      </w:r>
      <w:r w:rsidRPr="001F32D4" w:rsidR="00A255CF">
        <w:rPr>
          <w:snapToGrid w:val="0"/>
        </w:rPr>
        <w:t xml:space="preserve">– </w:t>
      </w:r>
      <w:r w:rsidRPr="001F32D4" w:rsidR="00480964">
        <w:rPr>
          <w:snapToGrid w:val="0"/>
        </w:rPr>
        <w:t>5 May 1998</w:t>
      </w:r>
      <w:r w:rsidRPr="001F32D4" w:rsidR="00A255CF">
        <w:rPr>
          <w:snapToGrid w:val="0"/>
        </w:rPr>
        <w:t xml:space="preserve"> –</w:t>
      </w:r>
      <w:r w:rsidRPr="001F32D4" w:rsidR="00480964">
        <w:rPr>
          <w:snapToGrid w:val="0"/>
        </w:rPr>
        <w:t xml:space="preserve"> and on the date of submission of the</w:t>
      </w:r>
      <w:r w:rsidRPr="001F32D4" w:rsidR="00A255CF">
        <w:rPr>
          <w:snapToGrid w:val="0"/>
        </w:rPr>
        <w:t>ir</w:t>
      </w:r>
      <w:r w:rsidRPr="001F32D4" w:rsidR="00480964">
        <w:rPr>
          <w:snapToGrid w:val="0"/>
        </w:rPr>
        <w:t xml:space="preserve"> application</w:t>
      </w:r>
      <w:r w:rsidRPr="001F32D4" w:rsidR="00A255CF">
        <w:rPr>
          <w:snapToGrid w:val="0"/>
        </w:rPr>
        <w:t>s</w:t>
      </w:r>
      <w:r w:rsidRPr="001F32D4" w:rsidR="00480964">
        <w:rPr>
          <w:snapToGrid w:val="0"/>
        </w:rPr>
        <w:t xml:space="preserve"> to the Court. </w:t>
      </w:r>
      <w:r w:rsidRPr="001F32D4" w:rsidR="00E57898">
        <w:t xml:space="preserve">Although </w:t>
      </w:r>
      <w:r w:rsidRPr="001F32D4" w:rsidR="001F3E11">
        <w:t xml:space="preserve">implementation </w:t>
      </w:r>
      <w:r w:rsidRPr="001F32D4" w:rsidR="00E57898">
        <w:t>of the relevant regulatory provisions ha</w:t>
      </w:r>
      <w:r w:rsidRPr="001F32D4" w:rsidR="00381D52">
        <w:t>s</w:t>
      </w:r>
      <w:r w:rsidRPr="001F32D4" w:rsidR="00E57898">
        <w:t xml:space="preserve"> been suspended for many years, they ha</w:t>
      </w:r>
      <w:r w:rsidRPr="001F32D4" w:rsidR="00381D52">
        <w:t>ve</w:t>
      </w:r>
      <w:r w:rsidRPr="001F32D4" w:rsidR="00E57898">
        <w:t xml:space="preserve"> not been revoked or annulled. </w:t>
      </w:r>
      <w:r w:rsidRPr="001F32D4" w:rsidR="00480964">
        <w:rPr>
          <w:snapToGrid w:val="0"/>
        </w:rPr>
        <w:t xml:space="preserve">The Government conceded that </w:t>
      </w:r>
      <w:r w:rsidRPr="001F32D4" w:rsidR="00353322">
        <w:rPr>
          <w:snapToGrid w:val="0"/>
        </w:rPr>
        <w:t>bondholders</w:t>
      </w:r>
      <w:r w:rsidRPr="001F32D4" w:rsidR="001F32D4">
        <w:rPr>
          <w:snapToGrid w:val="0"/>
        </w:rPr>
        <w:t>’</w:t>
      </w:r>
      <w:r w:rsidRPr="001F32D4" w:rsidR="00E57898">
        <w:rPr>
          <w:snapToGrid w:val="0"/>
        </w:rPr>
        <w:t xml:space="preserve"> claim</w:t>
      </w:r>
      <w:r w:rsidRPr="001F32D4" w:rsidR="00353322">
        <w:rPr>
          <w:snapToGrid w:val="0"/>
        </w:rPr>
        <w:t>s</w:t>
      </w:r>
      <w:r w:rsidRPr="001F32D4" w:rsidR="00E57898">
        <w:rPr>
          <w:snapToGrid w:val="0"/>
        </w:rPr>
        <w:t xml:space="preserve"> against the State </w:t>
      </w:r>
      <w:r w:rsidRPr="001F32D4" w:rsidR="00480964">
        <w:rPr>
          <w:snapToGrid w:val="0"/>
        </w:rPr>
        <w:t>continued to exist to the present day.</w:t>
      </w:r>
    </w:p>
    <w:p w:rsidRPr="001F32D4" w:rsidR="00F93578" w:rsidP="001F32D4" w:rsidRDefault="00E57898">
      <w:pPr>
        <w:pStyle w:val="ECHRPara"/>
        <w:rPr>
          <w:snapToGrid w:val="0"/>
        </w:rPr>
      </w:pPr>
      <w:r w:rsidRPr="001F32D4">
        <w:rPr>
          <w:snapToGrid w:val="0"/>
        </w:rPr>
        <w:fldChar w:fldCharType="begin"/>
      </w:r>
      <w:r w:rsidRPr="001F32D4">
        <w:rPr>
          <w:snapToGrid w:val="0"/>
        </w:rPr>
        <w:instrText xml:space="preserve"> SEQ level0 \*arabic </w:instrText>
      </w:r>
      <w:r w:rsidRPr="001F32D4">
        <w:rPr>
          <w:snapToGrid w:val="0"/>
        </w:rPr>
        <w:fldChar w:fldCharType="separate"/>
      </w:r>
      <w:r w:rsidRPr="001F32D4" w:rsidR="001F32D4">
        <w:rPr>
          <w:noProof/>
          <w:snapToGrid w:val="0"/>
        </w:rPr>
        <w:t>22</w:t>
      </w:r>
      <w:r w:rsidRPr="001F32D4">
        <w:rPr>
          <w:snapToGrid w:val="0"/>
        </w:rPr>
        <w:fldChar w:fldCharType="end"/>
      </w:r>
      <w:r w:rsidRPr="001F32D4">
        <w:rPr>
          <w:snapToGrid w:val="0"/>
        </w:rPr>
        <w:t>.  </w:t>
      </w:r>
      <w:r w:rsidRPr="001F32D4" w:rsidR="0085699E">
        <w:rPr>
          <w:snapToGrid w:val="0"/>
        </w:rPr>
        <w:t>As to</w:t>
      </w:r>
      <w:r w:rsidRPr="001F32D4" w:rsidR="00410B75">
        <w:rPr>
          <w:snapToGrid w:val="0"/>
        </w:rPr>
        <w:t xml:space="preserve"> compliance with the lawfulness requirement, the Court </w:t>
      </w:r>
      <w:r w:rsidRPr="001F32D4" w:rsidR="00A255CF">
        <w:rPr>
          <w:snapToGrid w:val="0"/>
        </w:rPr>
        <w:t xml:space="preserve">has noted </w:t>
      </w:r>
      <w:r w:rsidRPr="001F32D4" w:rsidR="00410B75">
        <w:rPr>
          <w:snapToGrid w:val="0"/>
        </w:rPr>
        <w:t xml:space="preserve">that </w:t>
      </w:r>
      <w:r w:rsidRPr="001F32D4" w:rsidR="00AE5003">
        <w:rPr>
          <w:snapToGrid w:val="0"/>
        </w:rPr>
        <w:t xml:space="preserve">the </w:t>
      </w:r>
      <w:r w:rsidRPr="001F32D4" w:rsidR="00410B75">
        <w:rPr>
          <w:snapToGrid w:val="0"/>
        </w:rPr>
        <w:t>r</w:t>
      </w:r>
      <w:r w:rsidRPr="001F32D4" w:rsidR="00B2243D">
        <w:t xml:space="preserve">epeated </w:t>
      </w:r>
      <w:r w:rsidRPr="001F32D4" w:rsidR="000F2BB0">
        <w:t>suspensions</w:t>
      </w:r>
      <w:r w:rsidRPr="001F32D4" w:rsidR="00B2243D">
        <w:t xml:space="preserve"> of the implementing </w:t>
      </w:r>
      <w:r w:rsidRPr="001F32D4">
        <w:t xml:space="preserve">regulations </w:t>
      </w:r>
      <w:r w:rsidRPr="001F32D4" w:rsidR="00381D52">
        <w:t>were</w:t>
      </w:r>
      <w:r w:rsidRPr="001F32D4" w:rsidR="00410B75">
        <w:t xml:space="preserve"> decided on in the </w:t>
      </w:r>
      <w:r w:rsidRPr="001F32D4" w:rsidR="00F93578">
        <w:t>legislative process. Accordingly, a restriction on the exercise of applicants</w:t>
      </w:r>
      <w:r w:rsidRPr="001F32D4" w:rsidR="001F32D4">
        <w:t>’</w:t>
      </w:r>
      <w:r w:rsidRPr="001F32D4" w:rsidR="00F93578">
        <w:t xml:space="preserve"> right to the peaceful enjoyment of their possessions was “provided for by law” (see </w:t>
      </w:r>
      <w:proofErr w:type="spellStart"/>
      <w:r w:rsidRPr="001F32D4" w:rsidR="00F93578">
        <w:rPr>
          <w:i/>
          <w:snapToGrid w:val="0"/>
        </w:rPr>
        <w:t>Malysh</w:t>
      </w:r>
      <w:proofErr w:type="spellEnd"/>
      <w:r w:rsidRPr="001F32D4" w:rsidR="00F93578">
        <w:rPr>
          <w:i/>
          <w:snapToGrid w:val="0"/>
        </w:rPr>
        <w:t xml:space="preserve"> and Others</w:t>
      </w:r>
      <w:r w:rsidRPr="001F32D4" w:rsidR="00F93578">
        <w:rPr>
          <w:snapToGrid w:val="0"/>
        </w:rPr>
        <w:t xml:space="preserve">, §§ 77-78, and </w:t>
      </w:r>
      <w:r w:rsidRPr="001F32D4" w:rsidR="00F93578">
        <w:rPr>
          <w:i/>
          <w:snapToGrid w:val="0"/>
        </w:rPr>
        <w:t xml:space="preserve">Yuriy </w:t>
      </w:r>
      <w:proofErr w:type="spellStart"/>
      <w:r w:rsidRPr="001F32D4" w:rsidR="00F93578">
        <w:rPr>
          <w:i/>
          <w:snapToGrid w:val="0"/>
        </w:rPr>
        <w:t>Lobanov</w:t>
      </w:r>
      <w:proofErr w:type="spellEnd"/>
      <w:r w:rsidRPr="001F32D4" w:rsidR="00F93578">
        <w:rPr>
          <w:snapToGrid w:val="0"/>
        </w:rPr>
        <w:t xml:space="preserve">, § 49, both cited above). As regards the existence of a legitimate aim, the Court </w:t>
      </w:r>
      <w:r w:rsidRPr="001F32D4" w:rsidR="00353322">
        <w:rPr>
          <w:snapToGrid w:val="0"/>
        </w:rPr>
        <w:t>has noted</w:t>
      </w:r>
      <w:r w:rsidRPr="001F32D4" w:rsidR="00F93578">
        <w:rPr>
          <w:snapToGrid w:val="0"/>
        </w:rPr>
        <w:t xml:space="preserve"> that in the 1990s the Russian State </w:t>
      </w:r>
      <w:r w:rsidRPr="001F32D4" w:rsidR="00381D52">
        <w:rPr>
          <w:snapToGrid w:val="0"/>
        </w:rPr>
        <w:t>went</w:t>
      </w:r>
      <w:r w:rsidRPr="001F32D4" w:rsidR="00F93578">
        <w:rPr>
          <w:snapToGrid w:val="0"/>
        </w:rPr>
        <w:t xml:space="preserve"> through a tumultuous transition from a State-controlled to a market economy. Its economic well-being </w:t>
      </w:r>
      <w:r w:rsidRPr="001F32D4" w:rsidR="00381D52">
        <w:rPr>
          <w:snapToGrid w:val="0"/>
        </w:rPr>
        <w:t>was</w:t>
      </w:r>
      <w:r w:rsidRPr="001F32D4" w:rsidR="00410B75">
        <w:rPr>
          <w:snapToGrid w:val="0"/>
        </w:rPr>
        <w:t xml:space="preserve"> later </w:t>
      </w:r>
      <w:r w:rsidRPr="001F32D4" w:rsidR="00F93578">
        <w:rPr>
          <w:snapToGrid w:val="0"/>
        </w:rPr>
        <w:t xml:space="preserve">jeopardised by the financial crisis of 1998 and </w:t>
      </w:r>
      <w:r w:rsidRPr="001F32D4" w:rsidR="00410B75">
        <w:rPr>
          <w:snapToGrid w:val="0"/>
        </w:rPr>
        <w:t>a</w:t>
      </w:r>
      <w:r w:rsidRPr="001F32D4" w:rsidR="00F93578">
        <w:rPr>
          <w:snapToGrid w:val="0"/>
        </w:rPr>
        <w:t xml:space="preserve"> sharp </w:t>
      </w:r>
      <w:r w:rsidRPr="001F32D4" w:rsidR="00410B75">
        <w:rPr>
          <w:snapToGrid w:val="0"/>
        </w:rPr>
        <w:t>depreciation</w:t>
      </w:r>
      <w:r w:rsidRPr="001F32D4" w:rsidR="00F93578">
        <w:rPr>
          <w:snapToGrid w:val="0"/>
        </w:rPr>
        <w:t xml:space="preserve"> of the national currency. Even though </w:t>
      </w:r>
      <w:r w:rsidRPr="001F32D4" w:rsidR="00410B75">
        <w:rPr>
          <w:snapToGrid w:val="0"/>
        </w:rPr>
        <w:t xml:space="preserve">Russia </w:t>
      </w:r>
      <w:r w:rsidRPr="001F32D4" w:rsidR="00381D52">
        <w:rPr>
          <w:snapToGrid w:val="0"/>
        </w:rPr>
        <w:t xml:space="preserve">has </w:t>
      </w:r>
      <w:r w:rsidRPr="001F32D4" w:rsidR="00F93578">
        <w:rPr>
          <w:snapToGrid w:val="0"/>
        </w:rPr>
        <w:t xml:space="preserve">achieved relative prosperity and wealth in </w:t>
      </w:r>
      <w:r w:rsidRPr="001F32D4" w:rsidR="00410B75">
        <w:rPr>
          <w:snapToGrid w:val="0"/>
        </w:rPr>
        <w:t xml:space="preserve">subsequent </w:t>
      </w:r>
      <w:r w:rsidRPr="001F32D4" w:rsidR="00F93578">
        <w:rPr>
          <w:snapToGrid w:val="0"/>
        </w:rPr>
        <w:t xml:space="preserve">years, the Court </w:t>
      </w:r>
      <w:r w:rsidRPr="001F32D4" w:rsidR="00A255CF">
        <w:rPr>
          <w:snapToGrid w:val="0"/>
        </w:rPr>
        <w:t xml:space="preserve">has </w:t>
      </w:r>
      <w:r w:rsidRPr="001F32D4" w:rsidR="00381D52">
        <w:rPr>
          <w:snapToGrid w:val="0"/>
        </w:rPr>
        <w:t>agree</w:t>
      </w:r>
      <w:r w:rsidRPr="001F32D4" w:rsidR="00A255CF">
        <w:rPr>
          <w:snapToGrid w:val="0"/>
        </w:rPr>
        <w:t>d</w:t>
      </w:r>
      <w:r w:rsidRPr="001F32D4" w:rsidR="00381D52">
        <w:rPr>
          <w:snapToGrid w:val="0"/>
        </w:rPr>
        <w:t xml:space="preserve"> </w:t>
      </w:r>
      <w:r w:rsidRPr="001F32D4" w:rsidR="00F93578">
        <w:rPr>
          <w:snapToGrid w:val="0"/>
        </w:rPr>
        <w:t xml:space="preserve">that defining budgetary priorities in terms of favouring expenditure on pressing social issues to the detriment of claims </w:t>
      </w:r>
      <w:r w:rsidRPr="001F32D4" w:rsidR="00AE5003">
        <w:rPr>
          <w:snapToGrid w:val="0"/>
        </w:rPr>
        <w:t xml:space="preserve">of </w:t>
      </w:r>
      <w:r w:rsidRPr="001F32D4" w:rsidR="00F93578">
        <w:rPr>
          <w:snapToGrid w:val="0"/>
        </w:rPr>
        <w:t xml:space="preserve">a purely pecuniary nature was a legitimate aim in the public interest (see </w:t>
      </w:r>
      <w:proofErr w:type="spellStart"/>
      <w:r w:rsidRPr="001F32D4" w:rsidR="00F93578">
        <w:rPr>
          <w:i/>
          <w:snapToGrid w:val="0"/>
        </w:rPr>
        <w:t>Malysh</w:t>
      </w:r>
      <w:proofErr w:type="spellEnd"/>
      <w:r w:rsidRPr="001F32D4" w:rsidR="00F93578">
        <w:rPr>
          <w:i/>
          <w:snapToGrid w:val="0"/>
        </w:rPr>
        <w:t xml:space="preserve"> and Others</w:t>
      </w:r>
      <w:r w:rsidRPr="001F32D4" w:rsidR="00F93578">
        <w:rPr>
          <w:snapToGrid w:val="0"/>
        </w:rPr>
        <w:t xml:space="preserve">, § 80, and </w:t>
      </w:r>
      <w:r w:rsidRPr="001F32D4" w:rsidR="00F93578">
        <w:rPr>
          <w:i/>
          <w:snapToGrid w:val="0"/>
        </w:rPr>
        <w:t xml:space="preserve">Yuriy </w:t>
      </w:r>
      <w:proofErr w:type="spellStart"/>
      <w:r w:rsidRPr="001F32D4" w:rsidR="00F93578">
        <w:rPr>
          <w:i/>
          <w:snapToGrid w:val="0"/>
        </w:rPr>
        <w:t>Lobanov</w:t>
      </w:r>
      <w:proofErr w:type="spellEnd"/>
      <w:r w:rsidRPr="001F32D4" w:rsidR="00F93578">
        <w:rPr>
          <w:snapToGrid w:val="0"/>
        </w:rPr>
        <w:t>, § 50, both cited above).</w:t>
      </w:r>
    </w:p>
    <w:p w:rsidRPr="001F32D4" w:rsidR="00F93578" w:rsidP="001F32D4" w:rsidRDefault="00F93578">
      <w:pPr>
        <w:pStyle w:val="ECHRPara"/>
        <w:rPr>
          <w:snapToGrid w:val="0"/>
        </w:rPr>
      </w:pPr>
      <w:r w:rsidRPr="001F32D4">
        <w:rPr>
          <w:snapToGrid w:val="0"/>
        </w:rPr>
        <w:fldChar w:fldCharType="begin"/>
      </w:r>
      <w:r w:rsidRPr="001F32D4">
        <w:rPr>
          <w:snapToGrid w:val="0"/>
        </w:rPr>
        <w:instrText xml:space="preserve"> SEQ level0 \*arabic </w:instrText>
      </w:r>
      <w:r w:rsidRPr="001F32D4">
        <w:rPr>
          <w:snapToGrid w:val="0"/>
        </w:rPr>
        <w:fldChar w:fldCharType="separate"/>
      </w:r>
      <w:r w:rsidRPr="001F32D4" w:rsidR="001F32D4">
        <w:rPr>
          <w:noProof/>
          <w:snapToGrid w:val="0"/>
        </w:rPr>
        <w:t>23</w:t>
      </w:r>
      <w:r w:rsidRPr="001F32D4">
        <w:rPr>
          <w:snapToGrid w:val="0"/>
        </w:rPr>
        <w:fldChar w:fldCharType="end"/>
      </w:r>
      <w:r w:rsidRPr="001F32D4">
        <w:rPr>
          <w:snapToGrid w:val="0"/>
        </w:rPr>
        <w:t>.  </w:t>
      </w:r>
      <w:r w:rsidRPr="001F32D4" w:rsidR="00410B75">
        <w:rPr>
          <w:snapToGrid w:val="0"/>
        </w:rPr>
        <w:t>On the question of the striking of a fair balance between the general interest and the applicants</w:t>
      </w:r>
      <w:r w:rsidRPr="001F32D4" w:rsidR="001F32D4">
        <w:rPr>
          <w:snapToGrid w:val="0"/>
        </w:rPr>
        <w:t>’</w:t>
      </w:r>
      <w:r w:rsidRPr="001F32D4" w:rsidR="00410B75">
        <w:rPr>
          <w:snapToGrid w:val="0"/>
        </w:rPr>
        <w:t xml:space="preserve"> rights, the rule of law underlying the Convention and the principle of lawfulness in Article 1 of Protocol No. 1 require States not only to respect and apply, in a foreseeable and consistent manner, the laws they have enacted, but also, as a corollary of this duty, to ensure the legal and practical conditions for their implementation. </w:t>
      </w:r>
      <w:r w:rsidRPr="001F32D4" w:rsidR="00A255CF">
        <w:rPr>
          <w:snapToGrid w:val="0"/>
        </w:rPr>
        <w:t xml:space="preserve">The Court has found that </w:t>
      </w:r>
      <w:r w:rsidRPr="001F32D4" w:rsidR="00410B75">
        <w:rPr>
          <w:snapToGrid w:val="0"/>
        </w:rPr>
        <w:t>those principles mandated the Russian State to fulfil in good time, in an appropriate and consistent manner, the legislative promises it had made in respect of claims arising out of the 1982</w:t>
      </w:r>
      <w:r w:rsidRPr="001F32D4" w:rsidR="00A43C33">
        <w:rPr>
          <w:snapToGrid w:val="0"/>
        </w:rPr>
        <w:t xml:space="preserve"> premium</w:t>
      </w:r>
      <w:r w:rsidRPr="001F32D4" w:rsidR="00410B75">
        <w:rPr>
          <w:snapToGrid w:val="0"/>
        </w:rPr>
        <w:t xml:space="preserve"> bonds. In particular, it was incumbent on the authorities to legislate on the conditions for implementation of the </w:t>
      </w:r>
      <w:r w:rsidRPr="001F32D4" w:rsidR="00764BAA">
        <w:rPr>
          <w:snapToGrid w:val="0"/>
        </w:rPr>
        <w:t>bondholder</w:t>
      </w:r>
      <w:r w:rsidRPr="001F32D4" w:rsidR="00410B75">
        <w:rPr>
          <w:snapToGrid w:val="0"/>
        </w:rPr>
        <w:t>s</w:t>
      </w:r>
      <w:r w:rsidRPr="001F32D4" w:rsidR="001F32D4">
        <w:rPr>
          <w:snapToGrid w:val="0"/>
        </w:rPr>
        <w:t>’</w:t>
      </w:r>
      <w:r w:rsidRPr="001F32D4" w:rsidR="00410B75">
        <w:rPr>
          <w:snapToGrid w:val="0"/>
        </w:rPr>
        <w:t xml:space="preserve"> entitlement, with a view to satisfying the undertaking that had been created through the enactment of the Savings Protection Act and follow-up legislation (see </w:t>
      </w:r>
      <w:proofErr w:type="spellStart"/>
      <w:r w:rsidRPr="001F32D4" w:rsidR="00410B75">
        <w:rPr>
          <w:i/>
          <w:snapToGrid w:val="0"/>
        </w:rPr>
        <w:t>Malysh</w:t>
      </w:r>
      <w:proofErr w:type="spellEnd"/>
      <w:r w:rsidRPr="001F32D4" w:rsidR="00410B75">
        <w:rPr>
          <w:i/>
          <w:snapToGrid w:val="0"/>
        </w:rPr>
        <w:t xml:space="preserve"> and Others</w:t>
      </w:r>
      <w:r w:rsidRPr="001F32D4" w:rsidR="00410B75">
        <w:rPr>
          <w:snapToGrid w:val="0"/>
        </w:rPr>
        <w:t xml:space="preserve">, § 82, and </w:t>
      </w:r>
      <w:r w:rsidRPr="001F32D4" w:rsidR="00410B75">
        <w:rPr>
          <w:i/>
          <w:snapToGrid w:val="0"/>
        </w:rPr>
        <w:t xml:space="preserve">Yuriy </w:t>
      </w:r>
      <w:proofErr w:type="spellStart"/>
      <w:r w:rsidRPr="001F32D4" w:rsidR="00410B75">
        <w:rPr>
          <w:i/>
          <w:snapToGrid w:val="0"/>
        </w:rPr>
        <w:t>Lobanov</w:t>
      </w:r>
      <w:proofErr w:type="spellEnd"/>
      <w:r w:rsidRPr="001F32D4" w:rsidR="002E6C67">
        <w:rPr>
          <w:snapToGrid w:val="0"/>
        </w:rPr>
        <w:t>, § </w:t>
      </w:r>
      <w:r w:rsidRPr="001F32D4" w:rsidR="00410B75">
        <w:rPr>
          <w:snapToGrid w:val="0"/>
        </w:rPr>
        <w:t>51, both cited above).</w:t>
      </w:r>
    </w:p>
    <w:p w:rsidRPr="001F32D4" w:rsidR="00410B75" w:rsidP="001F32D4" w:rsidRDefault="00410B75">
      <w:pPr>
        <w:pStyle w:val="ECHRPara"/>
        <w:rPr>
          <w:snapToGrid w:val="0"/>
        </w:rPr>
      </w:pPr>
      <w:r w:rsidRPr="001F32D4">
        <w:rPr>
          <w:snapToGrid w:val="0"/>
        </w:rPr>
        <w:fldChar w:fldCharType="begin"/>
      </w:r>
      <w:r w:rsidRPr="001F32D4">
        <w:rPr>
          <w:snapToGrid w:val="0"/>
        </w:rPr>
        <w:instrText xml:space="preserve"> SEQ level0 \*arabic </w:instrText>
      </w:r>
      <w:r w:rsidRPr="001F32D4">
        <w:rPr>
          <w:snapToGrid w:val="0"/>
        </w:rPr>
        <w:fldChar w:fldCharType="separate"/>
      </w:r>
      <w:r w:rsidRPr="001F32D4" w:rsidR="001F32D4">
        <w:rPr>
          <w:noProof/>
          <w:snapToGrid w:val="0"/>
        </w:rPr>
        <w:t>24</w:t>
      </w:r>
      <w:r w:rsidRPr="001F32D4">
        <w:rPr>
          <w:snapToGrid w:val="0"/>
        </w:rPr>
        <w:fldChar w:fldCharType="end"/>
      </w:r>
      <w:r w:rsidRPr="001F32D4">
        <w:rPr>
          <w:snapToGrid w:val="0"/>
        </w:rPr>
        <w:t>.  </w:t>
      </w:r>
      <w:r w:rsidRPr="001F32D4" w:rsidR="008B6C7A">
        <w:rPr>
          <w:snapToGrid w:val="0"/>
        </w:rPr>
        <w:t>A</w:t>
      </w:r>
      <w:r w:rsidRPr="001F32D4">
        <w:rPr>
          <w:snapToGrid w:val="0"/>
        </w:rPr>
        <w:t xml:space="preserve">fter the enactment of the Savings Protection Act in 1995, the Russian Parliament </w:t>
      </w:r>
      <w:r w:rsidRPr="001F32D4" w:rsidR="00BA2E2E">
        <w:rPr>
          <w:snapToGrid w:val="0"/>
        </w:rPr>
        <w:t>promptly enacted</w:t>
      </w:r>
      <w:r w:rsidRPr="001F32D4">
        <w:rPr>
          <w:snapToGrid w:val="0"/>
        </w:rPr>
        <w:t xml:space="preserve"> the legislative acts required for its successful implementation, including the 1996 Promissory Value Act, the 1999 Base Value Act and the 1999 Conversion Procedure Act</w:t>
      </w:r>
      <w:r w:rsidRPr="001F32D4" w:rsidR="00A255CF">
        <w:rPr>
          <w:snapToGrid w:val="0"/>
        </w:rPr>
        <w:t xml:space="preserve"> (see </w:t>
      </w:r>
      <w:r w:rsidRPr="001F32D4" w:rsidR="00A255CF">
        <w:rPr>
          <w:i/>
          <w:snapToGrid w:val="0"/>
        </w:rPr>
        <w:t xml:space="preserve">Yuriy </w:t>
      </w:r>
      <w:proofErr w:type="spellStart"/>
      <w:r w:rsidRPr="001F32D4" w:rsidR="00A255CF">
        <w:rPr>
          <w:i/>
          <w:snapToGrid w:val="0"/>
        </w:rPr>
        <w:t>Lobanov</w:t>
      </w:r>
      <w:proofErr w:type="spellEnd"/>
      <w:r w:rsidRPr="001F32D4" w:rsidR="00A255CF">
        <w:rPr>
          <w:snapToGrid w:val="0"/>
        </w:rPr>
        <w:t>, cited above, §§ 17-20)</w:t>
      </w:r>
      <w:r w:rsidRPr="001F32D4">
        <w:rPr>
          <w:snapToGrid w:val="0"/>
        </w:rPr>
        <w:t>. Those acts laid down a legislative framework for settlement of bond</w:t>
      </w:r>
      <w:r w:rsidRPr="001F32D4" w:rsidR="00764BAA">
        <w:rPr>
          <w:snapToGrid w:val="0"/>
        </w:rPr>
        <w:t>holder</w:t>
      </w:r>
      <w:r w:rsidRPr="001F32D4">
        <w:rPr>
          <w:snapToGrid w:val="0"/>
        </w:rPr>
        <w:t>s</w:t>
      </w:r>
      <w:r w:rsidRPr="001F32D4" w:rsidR="001F32D4">
        <w:rPr>
          <w:snapToGrid w:val="0"/>
        </w:rPr>
        <w:t>’</w:t>
      </w:r>
      <w:r w:rsidRPr="001F32D4">
        <w:rPr>
          <w:snapToGrid w:val="0"/>
        </w:rPr>
        <w:t xml:space="preserve"> entitlement which had been continuously recognised as part of the State</w:t>
      </w:r>
      <w:r w:rsidRPr="001F32D4" w:rsidR="001F32D4">
        <w:rPr>
          <w:snapToGrid w:val="0"/>
        </w:rPr>
        <w:t>’</w:t>
      </w:r>
      <w:r w:rsidRPr="001F32D4">
        <w:rPr>
          <w:snapToGrid w:val="0"/>
        </w:rPr>
        <w:t xml:space="preserve">s internal debt. In early 2000, the Russian Government </w:t>
      </w:r>
      <w:r w:rsidRPr="001F32D4" w:rsidR="008B6C7A">
        <w:rPr>
          <w:snapToGrid w:val="0"/>
        </w:rPr>
        <w:t>issued</w:t>
      </w:r>
      <w:r w:rsidRPr="001F32D4">
        <w:rPr>
          <w:snapToGrid w:val="0"/>
        </w:rPr>
        <w:t xml:space="preserve"> a regulation on the conversion procedure</w:t>
      </w:r>
      <w:r w:rsidRPr="001F32D4" w:rsidR="00A255CF">
        <w:rPr>
          <w:snapToGrid w:val="0"/>
        </w:rPr>
        <w:t xml:space="preserve"> (</w:t>
      </w:r>
      <w:proofErr w:type="gramStart"/>
      <w:r w:rsidRPr="001F32D4" w:rsidR="00A255CF">
        <w:rPr>
          <w:snapToGrid w:val="0"/>
        </w:rPr>
        <w:t>ibid.,</w:t>
      </w:r>
      <w:proofErr w:type="gramEnd"/>
      <w:r w:rsidRPr="001F32D4" w:rsidR="00A255CF">
        <w:rPr>
          <w:snapToGrid w:val="0"/>
        </w:rPr>
        <w:t xml:space="preserve"> § 21)</w:t>
      </w:r>
      <w:r w:rsidRPr="001F32D4">
        <w:rPr>
          <w:snapToGrid w:val="0"/>
        </w:rPr>
        <w:t xml:space="preserve">. However, for reasons that remain unclear to the Court, as no explanation </w:t>
      </w:r>
      <w:r w:rsidRPr="001F32D4" w:rsidR="008B6C7A">
        <w:rPr>
          <w:snapToGrid w:val="0"/>
        </w:rPr>
        <w:t xml:space="preserve">has been </w:t>
      </w:r>
      <w:r w:rsidRPr="001F32D4">
        <w:rPr>
          <w:snapToGrid w:val="0"/>
        </w:rPr>
        <w:t xml:space="preserve">put forward by the Government, from 2003 the implementation of the existing legal framework governing redemption of the 1982 </w:t>
      </w:r>
      <w:r w:rsidRPr="001F32D4" w:rsidR="00A43C33">
        <w:rPr>
          <w:snapToGrid w:val="0"/>
        </w:rPr>
        <w:t xml:space="preserve">premium </w:t>
      </w:r>
      <w:r w:rsidRPr="001F32D4">
        <w:rPr>
          <w:snapToGrid w:val="0"/>
        </w:rPr>
        <w:t xml:space="preserve">bonds has </w:t>
      </w:r>
      <w:r w:rsidRPr="001F32D4" w:rsidR="008B6C7A">
        <w:rPr>
          <w:snapToGrid w:val="0"/>
        </w:rPr>
        <w:t xml:space="preserve">remained </w:t>
      </w:r>
      <w:r w:rsidRPr="001F32D4" w:rsidR="00641B58">
        <w:rPr>
          <w:snapToGrid w:val="0"/>
        </w:rPr>
        <w:t xml:space="preserve">continuously </w:t>
      </w:r>
      <w:r w:rsidRPr="001F32D4">
        <w:rPr>
          <w:snapToGrid w:val="0"/>
        </w:rPr>
        <w:t xml:space="preserve">suspended, year </w:t>
      </w:r>
      <w:r w:rsidRPr="001F32D4" w:rsidR="008B6C7A">
        <w:rPr>
          <w:snapToGrid w:val="0"/>
        </w:rPr>
        <w:t xml:space="preserve">after </w:t>
      </w:r>
      <w:r w:rsidRPr="001F32D4">
        <w:rPr>
          <w:snapToGrid w:val="0"/>
        </w:rPr>
        <w:t>year</w:t>
      </w:r>
      <w:r w:rsidRPr="001F32D4" w:rsidR="004A7FB4">
        <w:rPr>
          <w:snapToGrid w:val="0"/>
        </w:rPr>
        <w:t xml:space="preserve"> (</w:t>
      </w:r>
      <w:r w:rsidRPr="001F32D4" w:rsidR="00A255CF">
        <w:rPr>
          <w:snapToGrid w:val="0"/>
        </w:rPr>
        <w:t>ibid.</w:t>
      </w:r>
      <w:r w:rsidRPr="001F32D4" w:rsidR="004A7FB4">
        <w:rPr>
          <w:snapToGrid w:val="0"/>
        </w:rPr>
        <w:t>, §</w:t>
      </w:r>
      <w:r w:rsidRPr="001F32D4" w:rsidR="00BF20B0">
        <w:rPr>
          <w:snapToGrid w:val="0"/>
        </w:rPr>
        <w:t>§</w:t>
      </w:r>
      <w:r w:rsidRPr="001F32D4" w:rsidR="004A7FB4">
        <w:rPr>
          <w:snapToGrid w:val="0"/>
        </w:rPr>
        <w:t> </w:t>
      </w:r>
      <w:r w:rsidRPr="001F32D4" w:rsidR="00BF20B0">
        <w:rPr>
          <w:snapToGrid w:val="0"/>
        </w:rPr>
        <w:t xml:space="preserve">22 and </w:t>
      </w:r>
      <w:r w:rsidRPr="001F32D4" w:rsidR="004A7FB4">
        <w:rPr>
          <w:snapToGrid w:val="0"/>
        </w:rPr>
        <w:t>52).</w:t>
      </w:r>
    </w:p>
    <w:p w:rsidRPr="001F32D4" w:rsidR="00410B75" w:rsidP="001F32D4" w:rsidRDefault="00410B75">
      <w:pPr>
        <w:pStyle w:val="ECHRPara"/>
        <w:rPr>
          <w:snapToGrid w:val="0"/>
        </w:rPr>
      </w:pPr>
      <w:r w:rsidRPr="001F32D4">
        <w:rPr>
          <w:snapToGrid w:val="0"/>
        </w:rPr>
        <w:fldChar w:fldCharType="begin"/>
      </w:r>
      <w:r w:rsidRPr="001F32D4">
        <w:rPr>
          <w:snapToGrid w:val="0"/>
        </w:rPr>
        <w:instrText xml:space="preserve"> SEQ level0 \*arabic </w:instrText>
      </w:r>
      <w:r w:rsidRPr="001F32D4">
        <w:rPr>
          <w:snapToGrid w:val="0"/>
        </w:rPr>
        <w:fldChar w:fldCharType="separate"/>
      </w:r>
      <w:r w:rsidRPr="001F32D4" w:rsidR="001F32D4">
        <w:rPr>
          <w:noProof/>
          <w:snapToGrid w:val="0"/>
        </w:rPr>
        <w:t>25</w:t>
      </w:r>
      <w:r w:rsidRPr="001F32D4">
        <w:rPr>
          <w:snapToGrid w:val="0"/>
        </w:rPr>
        <w:fldChar w:fldCharType="end"/>
      </w:r>
      <w:r w:rsidRPr="001F32D4">
        <w:rPr>
          <w:snapToGrid w:val="0"/>
        </w:rPr>
        <w:t xml:space="preserve">.  The information available to the Court does not allow it to find that the Russian Government took any measures in that period with a view to satisfying the claims arising out of the bonds. </w:t>
      </w:r>
      <w:r w:rsidRPr="001F32D4" w:rsidR="008B6C7A">
        <w:rPr>
          <w:snapToGrid w:val="0"/>
        </w:rPr>
        <w:t xml:space="preserve">There is no evidence that the annual decisions suspending the </w:t>
      </w:r>
      <w:r w:rsidRPr="001F32D4" w:rsidR="001F3E11">
        <w:rPr>
          <w:snapToGrid w:val="0"/>
        </w:rPr>
        <w:t xml:space="preserve">implementation </w:t>
      </w:r>
      <w:r w:rsidRPr="001F32D4" w:rsidR="001F32D4">
        <w:rPr>
          <w:snapToGrid w:val="0"/>
        </w:rPr>
        <w:t>of the redemption framework were</w:t>
      </w:r>
      <w:r w:rsidRPr="001F32D4" w:rsidR="008B6C7A">
        <w:rPr>
          <w:snapToGrid w:val="0"/>
        </w:rPr>
        <w:t xml:space="preserve"> preceded by an assessment of the </w:t>
      </w:r>
      <w:r w:rsidRPr="001F32D4">
        <w:rPr>
          <w:snapToGrid w:val="0"/>
        </w:rPr>
        <w:t xml:space="preserve">amount </w:t>
      </w:r>
      <w:r w:rsidRPr="001F32D4" w:rsidR="008B6C7A">
        <w:rPr>
          <w:snapToGrid w:val="0"/>
        </w:rPr>
        <w:t xml:space="preserve">of budget appropriations necessary </w:t>
      </w:r>
      <w:r w:rsidRPr="001F32D4">
        <w:rPr>
          <w:snapToGrid w:val="0"/>
        </w:rPr>
        <w:t xml:space="preserve">to settle the debt </w:t>
      </w:r>
      <w:r w:rsidRPr="001F32D4" w:rsidR="008B6C7A">
        <w:rPr>
          <w:snapToGrid w:val="0"/>
        </w:rPr>
        <w:t xml:space="preserve">arising out of </w:t>
      </w:r>
      <w:r w:rsidRPr="001F32D4">
        <w:rPr>
          <w:snapToGrid w:val="0"/>
        </w:rPr>
        <w:t xml:space="preserve">the bonds </w:t>
      </w:r>
      <w:r w:rsidRPr="001F32D4" w:rsidR="008B6C7A">
        <w:rPr>
          <w:snapToGrid w:val="0"/>
        </w:rPr>
        <w:t xml:space="preserve">and </w:t>
      </w:r>
      <w:proofErr w:type="gramStart"/>
      <w:r w:rsidRPr="001F32D4" w:rsidR="008B6C7A">
        <w:rPr>
          <w:snapToGrid w:val="0"/>
        </w:rPr>
        <w:t>its</w:t>
      </w:r>
      <w:proofErr w:type="gramEnd"/>
      <w:r w:rsidRPr="001F32D4" w:rsidR="008B6C7A">
        <w:rPr>
          <w:snapToGrid w:val="0"/>
        </w:rPr>
        <w:t xml:space="preserve"> balancing </w:t>
      </w:r>
      <w:r w:rsidRPr="001F32D4">
        <w:rPr>
          <w:snapToGrid w:val="0"/>
        </w:rPr>
        <w:t xml:space="preserve">in relation to other priority </w:t>
      </w:r>
      <w:r w:rsidRPr="001F32D4" w:rsidR="008B6C7A">
        <w:rPr>
          <w:snapToGrid w:val="0"/>
        </w:rPr>
        <w:t xml:space="preserve">social </w:t>
      </w:r>
      <w:r w:rsidRPr="001F32D4">
        <w:rPr>
          <w:snapToGrid w:val="0"/>
        </w:rPr>
        <w:t>expenses</w:t>
      </w:r>
      <w:r w:rsidRPr="001F32D4" w:rsidR="008B6C7A">
        <w:rPr>
          <w:snapToGrid w:val="0"/>
        </w:rPr>
        <w:t xml:space="preserve">. In fact, as the applicants </w:t>
      </w:r>
      <w:r w:rsidRPr="001F32D4" w:rsidR="00353322">
        <w:rPr>
          <w:snapToGrid w:val="0"/>
        </w:rPr>
        <w:t xml:space="preserve">in the present case </w:t>
      </w:r>
      <w:r w:rsidRPr="001F32D4" w:rsidR="008B6C7A">
        <w:rPr>
          <w:snapToGrid w:val="0"/>
        </w:rPr>
        <w:t>pointed out, no such assessment</w:t>
      </w:r>
      <w:r w:rsidRPr="001F32D4">
        <w:rPr>
          <w:snapToGrid w:val="0"/>
        </w:rPr>
        <w:t xml:space="preserve"> could have been possible in the absence of key indicators, such as the quantity and total valuation of the </w:t>
      </w:r>
      <w:r w:rsidRPr="001F32D4" w:rsidR="008B6C7A">
        <w:rPr>
          <w:snapToGrid w:val="0"/>
        </w:rPr>
        <w:t xml:space="preserve">outstanding </w:t>
      </w:r>
      <w:r w:rsidRPr="001F32D4">
        <w:rPr>
          <w:snapToGrid w:val="0"/>
        </w:rPr>
        <w:t xml:space="preserve">bonds. </w:t>
      </w:r>
      <w:r w:rsidRPr="001F32D4" w:rsidR="008B6C7A">
        <w:rPr>
          <w:snapToGrid w:val="0"/>
        </w:rPr>
        <w:t xml:space="preserve">That information has not been, and could not have been, obtained because the stamping of the outstanding bonds and entering their details into the Ministry of Finance register, as </w:t>
      </w:r>
      <w:r w:rsidRPr="001F32D4" w:rsidR="00CA71AF">
        <w:rPr>
          <w:snapToGrid w:val="0"/>
        </w:rPr>
        <w:t xml:space="preserve">provided for </w:t>
      </w:r>
      <w:r w:rsidRPr="001F32D4" w:rsidR="008B6C7A">
        <w:rPr>
          <w:snapToGrid w:val="0"/>
        </w:rPr>
        <w:t xml:space="preserve">in the Conversion Procedure Act and Government </w:t>
      </w:r>
      <w:r w:rsidRPr="001F32D4" w:rsidR="00A91318">
        <w:rPr>
          <w:snapToGrid w:val="0"/>
        </w:rPr>
        <w:t>R</w:t>
      </w:r>
      <w:r w:rsidRPr="001F32D4" w:rsidR="008B6C7A">
        <w:rPr>
          <w:snapToGrid w:val="0"/>
        </w:rPr>
        <w:t>egulation no. 82</w:t>
      </w:r>
      <w:r w:rsidRPr="001F32D4" w:rsidR="00E92243">
        <w:rPr>
          <w:snapToGrid w:val="0"/>
        </w:rPr>
        <w:t xml:space="preserve"> (ibid., § 21)</w:t>
      </w:r>
      <w:r w:rsidRPr="001F32D4" w:rsidR="008B6C7A">
        <w:rPr>
          <w:snapToGrid w:val="0"/>
        </w:rPr>
        <w:t xml:space="preserve">, </w:t>
      </w:r>
      <w:r w:rsidRPr="001F32D4" w:rsidR="00A356F5">
        <w:rPr>
          <w:snapToGrid w:val="0"/>
        </w:rPr>
        <w:t xml:space="preserve">has never been completed. </w:t>
      </w:r>
      <w:r w:rsidRPr="001F32D4">
        <w:rPr>
          <w:snapToGrid w:val="0"/>
        </w:rPr>
        <w:t>While the radical reform of Russia</w:t>
      </w:r>
      <w:r w:rsidRPr="001F32D4" w:rsidR="001F32D4">
        <w:rPr>
          <w:snapToGrid w:val="0"/>
        </w:rPr>
        <w:t>’</w:t>
      </w:r>
      <w:r w:rsidRPr="001F32D4">
        <w:rPr>
          <w:snapToGrid w:val="0"/>
        </w:rPr>
        <w:t>s political and economic system</w:t>
      </w:r>
      <w:r w:rsidRPr="001F32D4" w:rsidR="00A356F5">
        <w:rPr>
          <w:snapToGrid w:val="0"/>
        </w:rPr>
        <w:t xml:space="preserve"> in the 1990s</w:t>
      </w:r>
      <w:r w:rsidRPr="001F32D4">
        <w:rPr>
          <w:snapToGrid w:val="0"/>
        </w:rPr>
        <w:t>, as well as the state of the country</w:t>
      </w:r>
      <w:r w:rsidRPr="001F32D4" w:rsidR="001F32D4">
        <w:rPr>
          <w:snapToGrid w:val="0"/>
        </w:rPr>
        <w:t>’</w:t>
      </w:r>
      <w:r w:rsidRPr="001F32D4">
        <w:rPr>
          <w:snapToGrid w:val="0"/>
        </w:rPr>
        <w:t xml:space="preserve">s finances, may have </w:t>
      </w:r>
      <w:r w:rsidRPr="001F32D4" w:rsidR="00A356F5">
        <w:rPr>
          <w:snapToGrid w:val="0"/>
        </w:rPr>
        <w:t xml:space="preserve">once </w:t>
      </w:r>
      <w:r w:rsidRPr="001F32D4">
        <w:rPr>
          <w:snapToGrid w:val="0"/>
        </w:rPr>
        <w:t xml:space="preserve">justified stringent financial limitations on rights of a purely pecuniary nature, </w:t>
      </w:r>
      <w:r w:rsidRPr="001F32D4" w:rsidR="00353322">
        <w:rPr>
          <w:snapToGrid w:val="0"/>
        </w:rPr>
        <w:t xml:space="preserve">it is currently the case </w:t>
      </w:r>
      <w:r w:rsidRPr="001F32D4" w:rsidR="00A356F5">
        <w:rPr>
          <w:snapToGrid w:val="0"/>
        </w:rPr>
        <w:t xml:space="preserve">that </w:t>
      </w:r>
      <w:r w:rsidRPr="001F32D4">
        <w:rPr>
          <w:snapToGrid w:val="0"/>
        </w:rPr>
        <w:t>the Russian Gov</w:t>
      </w:r>
      <w:r w:rsidRPr="001F32D4" w:rsidR="00A356F5">
        <w:rPr>
          <w:snapToGrid w:val="0"/>
        </w:rPr>
        <w:t xml:space="preserve">ernment </w:t>
      </w:r>
      <w:r w:rsidRPr="001F32D4" w:rsidR="00641B58">
        <w:rPr>
          <w:snapToGrid w:val="0"/>
        </w:rPr>
        <w:t>have been un</w:t>
      </w:r>
      <w:r w:rsidRPr="001F32D4" w:rsidR="00A356F5">
        <w:rPr>
          <w:snapToGrid w:val="0"/>
        </w:rPr>
        <w:t xml:space="preserve">able to put forward a satisfactory justification for their </w:t>
      </w:r>
      <w:r w:rsidRPr="001F32D4">
        <w:rPr>
          <w:snapToGrid w:val="0"/>
        </w:rPr>
        <w:t>continuous failure</w:t>
      </w:r>
      <w:r w:rsidRPr="001F32D4" w:rsidR="00A356F5">
        <w:rPr>
          <w:snapToGrid w:val="0"/>
        </w:rPr>
        <w:t>,</w:t>
      </w:r>
      <w:r w:rsidRPr="001F32D4">
        <w:rPr>
          <w:snapToGrid w:val="0"/>
        </w:rPr>
        <w:t xml:space="preserve"> over </w:t>
      </w:r>
      <w:r w:rsidRPr="001F32D4" w:rsidR="00A356F5">
        <w:rPr>
          <w:snapToGrid w:val="0"/>
        </w:rPr>
        <w:t xml:space="preserve">a period of more than fifteen </w:t>
      </w:r>
      <w:r w:rsidRPr="001F32D4">
        <w:rPr>
          <w:snapToGrid w:val="0"/>
        </w:rPr>
        <w:t>years</w:t>
      </w:r>
      <w:r w:rsidRPr="001F32D4" w:rsidR="00A356F5">
        <w:rPr>
          <w:snapToGrid w:val="0"/>
        </w:rPr>
        <w:t>,</w:t>
      </w:r>
      <w:r w:rsidRPr="001F32D4">
        <w:rPr>
          <w:snapToGrid w:val="0"/>
        </w:rPr>
        <w:t xml:space="preserve"> to implement an entitlement conferred on the applican</w:t>
      </w:r>
      <w:r w:rsidRPr="001F32D4" w:rsidR="00A356F5">
        <w:rPr>
          <w:snapToGrid w:val="0"/>
        </w:rPr>
        <w:t>t</w:t>
      </w:r>
      <w:r w:rsidRPr="001F32D4" w:rsidR="00A91318">
        <w:rPr>
          <w:snapToGrid w:val="0"/>
        </w:rPr>
        <w:t>s</w:t>
      </w:r>
      <w:r w:rsidRPr="001F32D4" w:rsidR="00A356F5">
        <w:rPr>
          <w:snapToGrid w:val="0"/>
        </w:rPr>
        <w:t xml:space="preserve"> by Russian legislation (see </w:t>
      </w:r>
      <w:proofErr w:type="spellStart"/>
      <w:r w:rsidRPr="001F32D4" w:rsidR="00A356F5">
        <w:rPr>
          <w:i/>
          <w:snapToGrid w:val="0"/>
        </w:rPr>
        <w:t>Malysh</w:t>
      </w:r>
      <w:proofErr w:type="spellEnd"/>
      <w:r w:rsidRPr="001F32D4" w:rsidR="00A356F5">
        <w:rPr>
          <w:i/>
          <w:snapToGrid w:val="0"/>
        </w:rPr>
        <w:t xml:space="preserve"> and Others</w:t>
      </w:r>
      <w:r w:rsidRPr="001F32D4" w:rsidR="00A356F5">
        <w:rPr>
          <w:snapToGrid w:val="0"/>
        </w:rPr>
        <w:t xml:space="preserve">, § 83, and </w:t>
      </w:r>
      <w:r w:rsidRPr="001F32D4" w:rsidR="00A356F5">
        <w:rPr>
          <w:i/>
          <w:snapToGrid w:val="0"/>
        </w:rPr>
        <w:t xml:space="preserve">Yuriy </w:t>
      </w:r>
      <w:proofErr w:type="spellStart"/>
      <w:r w:rsidRPr="001F32D4" w:rsidR="00A356F5">
        <w:rPr>
          <w:i/>
          <w:snapToGrid w:val="0"/>
        </w:rPr>
        <w:t>Lobanov</w:t>
      </w:r>
      <w:proofErr w:type="spellEnd"/>
      <w:r w:rsidRPr="001F32D4" w:rsidR="002E6C67">
        <w:rPr>
          <w:snapToGrid w:val="0"/>
        </w:rPr>
        <w:t>, § </w:t>
      </w:r>
      <w:r w:rsidRPr="001F32D4" w:rsidR="00A356F5">
        <w:rPr>
          <w:snapToGrid w:val="0"/>
        </w:rPr>
        <w:t>52, both cited above).</w:t>
      </w:r>
    </w:p>
    <w:p w:rsidRPr="001F32D4" w:rsidR="001143E3" w:rsidP="001F32D4" w:rsidRDefault="00A356F5">
      <w:pPr>
        <w:pStyle w:val="ECHRPara"/>
        <w:rPr>
          <w:snapToGrid w:val="0"/>
        </w:rPr>
      </w:pPr>
      <w:r w:rsidRPr="001F32D4">
        <w:rPr>
          <w:snapToGrid w:val="0"/>
        </w:rPr>
        <w:fldChar w:fldCharType="begin"/>
      </w:r>
      <w:r w:rsidRPr="001F32D4">
        <w:rPr>
          <w:snapToGrid w:val="0"/>
        </w:rPr>
        <w:instrText xml:space="preserve"> SEQ level0 \*arabic </w:instrText>
      </w:r>
      <w:r w:rsidRPr="001F32D4">
        <w:rPr>
          <w:snapToGrid w:val="0"/>
        </w:rPr>
        <w:fldChar w:fldCharType="separate"/>
      </w:r>
      <w:r w:rsidRPr="001F32D4" w:rsidR="001F32D4">
        <w:rPr>
          <w:noProof/>
          <w:snapToGrid w:val="0"/>
        </w:rPr>
        <w:t>26</w:t>
      </w:r>
      <w:r w:rsidRPr="001F32D4">
        <w:rPr>
          <w:snapToGrid w:val="0"/>
        </w:rPr>
        <w:fldChar w:fldCharType="end"/>
      </w:r>
      <w:r w:rsidRPr="001F32D4">
        <w:rPr>
          <w:snapToGrid w:val="0"/>
        </w:rPr>
        <w:t>.  </w:t>
      </w:r>
      <w:r w:rsidRPr="001F32D4" w:rsidR="00F77BCB">
        <w:rPr>
          <w:snapToGrid w:val="0"/>
        </w:rPr>
        <w:t>T</w:t>
      </w:r>
      <w:r w:rsidRPr="001F32D4">
        <w:rPr>
          <w:snapToGrid w:val="0"/>
        </w:rPr>
        <w:t>he Court has no competence </w:t>
      </w:r>
      <w:proofErr w:type="spellStart"/>
      <w:r w:rsidRPr="001F32D4">
        <w:rPr>
          <w:i/>
          <w:iCs/>
          <w:snapToGrid w:val="0"/>
        </w:rPr>
        <w:t>ratione</w:t>
      </w:r>
      <w:proofErr w:type="spellEnd"/>
      <w:r w:rsidRPr="001F32D4">
        <w:rPr>
          <w:i/>
          <w:iCs/>
          <w:snapToGrid w:val="0"/>
        </w:rPr>
        <w:t xml:space="preserve"> </w:t>
      </w:r>
      <w:proofErr w:type="spellStart"/>
      <w:r w:rsidRPr="001F32D4">
        <w:rPr>
          <w:i/>
          <w:iCs/>
          <w:snapToGrid w:val="0"/>
        </w:rPr>
        <w:t>temporis</w:t>
      </w:r>
      <w:proofErr w:type="spellEnd"/>
      <w:r w:rsidRPr="001F32D4">
        <w:rPr>
          <w:snapToGrid w:val="0"/>
        </w:rPr>
        <w:t xml:space="preserve"> to examine the options that were available to the </w:t>
      </w:r>
      <w:r w:rsidRPr="001F32D4" w:rsidR="00764BAA">
        <w:rPr>
          <w:snapToGrid w:val="0"/>
        </w:rPr>
        <w:t>bondholders</w:t>
      </w:r>
      <w:r w:rsidRPr="001F32D4">
        <w:rPr>
          <w:snapToGrid w:val="0"/>
        </w:rPr>
        <w:t xml:space="preserve"> prior to the ratification of the Convention and the Protocol. </w:t>
      </w:r>
      <w:r w:rsidRPr="001F32D4" w:rsidR="00F77BCB">
        <w:rPr>
          <w:snapToGrid w:val="0"/>
        </w:rPr>
        <w:t>H</w:t>
      </w:r>
      <w:r w:rsidRPr="001F32D4">
        <w:rPr>
          <w:snapToGrid w:val="0"/>
        </w:rPr>
        <w:t xml:space="preserve">owever, </w:t>
      </w:r>
      <w:r w:rsidRPr="001F32D4" w:rsidR="0082659F">
        <w:rPr>
          <w:snapToGrid w:val="0"/>
        </w:rPr>
        <w:t xml:space="preserve">the Court notes </w:t>
      </w:r>
      <w:r w:rsidRPr="001F32D4">
        <w:rPr>
          <w:snapToGrid w:val="0"/>
        </w:rPr>
        <w:t xml:space="preserve">that since the enactment of the </w:t>
      </w:r>
      <w:r w:rsidRPr="001F32D4" w:rsidR="00C54F6E">
        <w:rPr>
          <w:snapToGrid w:val="0"/>
        </w:rPr>
        <w:t xml:space="preserve">1995 </w:t>
      </w:r>
      <w:r w:rsidRPr="001F32D4">
        <w:rPr>
          <w:snapToGrid w:val="0"/>
        </w:rPr>
        <w:t>Savings Protection Act they have had a legitimate expectation of obtaining some form of compensation for, or redemption of, the bonds. The applicants</w:t>
      </w:r>
      <w:r w:rsidRPr="001F32D4" w:rsidR="00F77BCB">
        <w:rPr>
          <w:snapToGrid w:val="0"/>
        </w:rPr>
        <w:t xml:space="preserve"> </w:t>
      </w:r>
      <w:r w:rsidRPr="001F32D4">
        <w:rPr>
          <w:snapToGrid w:val="0"/>
        </w:rPr>
        <w:t>did not remain passive, but rather displayed an active attitude by making requests to the competent authorities and lodging claims with the domestic courts, including the Supreme Court and Constitutional Court</w:t>
      </w:r>
      <w:r w:rsidRPr="001F32D4" w:rsidR="005B7799">
        <w:rPr>
          <w:snapToGrid w:val="0"/>
        </w:rPr>
        <w:t xml:space="preserve"> (see paragraph </w:t>
      </w:r>
      <w:r w:rsidRPr="001F32D4" w:rsidR="005B7799">
        <w:rPr>
          <w:snapToGrid w:val="0"/>
        </w:rPr>
        <w:fldChar w:fldCharType="begin"/>
      </w:r>
      <w:r w:rsidRPr="001F32D4" w:rsidR="005B7799">
        <w:rPr>
          <w:snapToGrid w:val="0"/>
        </w:rPr>
        <w:instrText xml:space="preserve"> REF appsclaims \h </w:instrText>
      </w:r>
      <w:r w:rsidRPr="001F32D4" w:rsidR="005B7799">
        <w:rPr>
          <w:snapToGrid w:val="0"/>
        </w:rPr>
      </w:r>
      <w:r w:rsidRPr="001F32D4" w:rsidR="005B7799">
        <w:rPr>
          <w:snapToGrid w:val="0"/>
        </w:rPr>
        <w:fldChar w:fldCharType="separate"/>
      </w:r>
      <w:r w:rsidRPr="001F32D4" w:rsidR="001F32D4">
        <w:rPr>
          <w:noProof/>
          <w:szCs w:val="24"/>
        </w:rPr>
        <w:t>14</w:t>
      </w:r>
      <w:r w:rsidRPr="001F32D4" w:rsidR="005B7799">
        <w:rPr>
          <w:snapToGrid w:val="0"/>
        </w:rPr>
        <w:fldChar w:fldCharType="end"/>
      </w:r>
      <w:r w:rsidRPr="001F32D4" w:rsidR="005B7799">
        <w:rPr>
          <w:snapToGrid w:val="0"/>
        </w:rPr>
        <w:t xml:space="preserve"> above)</w:t>
      </w:r>
      <w:r w:rsidRPr="001F32D4">
        <w:rPr>
          <w:snapToGrid w:val="0"/>
        </w:rPr>
        <w:t xml:space="preserve">. </w:t>
      </w:r>
      <w:r w:rsidRPr="001F32D4" w:rsidR="00C54F6E">
        <w:rPr>
          <w:snapToGrid w:val="0"/>
        </w:rPr>
        <w:t xml:space="preserve">There </w:t>
      </w:r>
      <w:r w:rsidRPr="001F32D4" w:rsidR="00F77BCB">
        <w:rPr>
          <w:snapToGrid w:val="0"/>
        </w:rPr>
        <w:t>was</w:t>
      </w:r>
      <w:r w:rsidRPr="001F32D4" w:rsidR="00C54F6E">
        <w:rPr>
          <w:snapToGrid w:val="0"/>
        </w:rPr>
        <w:t xml:space="preserve"> no indication</w:t>
      </w:r>
      <w:r w:rsidRPr="001F32D4">
        <w:rPr>
          <w:snapToGrid w:val="0"/>
        </w:rPr>
        <w:t xml:space="preserve"> that the applicants were responsible for, or culpably contributed to, the state of affairs which they complained about (</w:t>
      </w:r>
      <w:r w:rsidRPr="001F32D4" w:rsidR="00C54F6E">
        <w:rPr>
          <w:snapToGrid w:val="0"/>
        </w:rPr>
        <w:t xml:space="preserve">compare </w:t>
      </w:r>
      <w:proofErr w:type="spellStart"/>
      <w:r w:rsidRPr="001F32D4">
        <w:rPr>
          <w:i/>
          <w:snapToGrid w:val="0"/>
        </w:rPr>
        <w:t>Malysh</w:t>
      </w:r>
      <w:proofErr w:type="spellEnd"/>
      <w:r w:rsidRPr="001F32D4">
        <w:rPr>
          <w:i/>
          <w:snapToGrid w:val="0"/>
        </w:rPr>
        <w:t xml:space="preserve"> and Others</w:t>
      </w:r>
      <w:r w:rsidRPr="001F32D4">
        <w:rPr>
          <w:snapToGrid w:val="0"/>
        </w:rPr>
        <w:t xml:space="preserve">, § 84, and </w:t>
      </w:r>
      <w:r w:rsidRPr="001F32D4">
        <w:rPr>
          <w:i/>
          <w:snapToGrid w:val="0"/>
        </w:rPr>
        <w:t xml:space="preserve">Yuriy </w:t>
      </w:r>
      <w:proofErr w:type="spellStart"/>
      <w:r w:rsidRPr="001F32D4">
        <w:rPr>
          <w:i/>
          <w:snapToGrid w:val="0"/>
        </w:rPr>
        <w:t>Lobanov</w:t>
      </w:r>
      <w:proofErr w:type="spellEnd"/>
      <w:r w:rsidRPr="001F32D4">
        <w:rPr>
          <w:snapToGrid w:val="0"/>
        </w:rPr>
        <w:t>, §</w:t>
      </w:r>
      <w:r w:rsidRPr="001F32D4" w:rsidR="00DC4605">
        <w:rPr>
          <w:snapToGrid w:val="0"/>
          <w:lang w:val="en-US"/>
        </w:rPr>
        <w:t> </w:t>
      </w:r>
      <w:r w:rsidRPr="001F32D4">
        <w:rPr>
          <w:snapToGrid w:val="0"/>
        </w:rPr>
        <w:t>53, both cited above).</w:t>
      </w:r>
    </w:p>
    <w:p w:rsidRPr="001F32D4" w:rsidR="00A356F5" w:rsidP="001F32D4" w:rsidRDefault="00A356F5">
      <w:pPr>
        <w:pStyle w:val="ECHRPara"/>
        <w:rPr>
          <w:snapToGrid w:val="0"/>
        </w:rPr>
      </w:pPr>
      <w:r w:rsidRPr="001F32D4">
        <w:rPr>
          <w:snapToGrid w:val="0"/>
        </w:rPr>
        <w:fldChar w:fldCharType="begin"/>
      </w:r>
      <w:r w:rsidRPr="001F32D4">
        <w:rPr>
          <w:snapToGrid w:val="0"/>
        </w:rPr>
        <w:instrText xml:space="preserve"> SEQ level0 \*arabic </w:instrText>
      </w:r>
      <w:r w:rsidRPr="001F32D4">
        <w:rPr>
          <w:snapToGrid w:val="0"/>
        </w:rPr>
        <w:fldChar w:fldCharType="separate"/>
      </w:r>
      <w:r w:rsidRPr="001F32D4" w:rsidR="001F32D4">
        <w:rPr>
          <w:noProof/>
          <w:snapToGrid w:val="0"/>
        </w:rPr>
        <w:t>27</w:t>
      </w:r>
      <w:r w:rsidRPr="001F32D4">
        <w:rPr>
          <w:snapToGrid w:val="0"/>
        </w:rPr>
        <w:fldChar w:fldCharType="end"/>
      </w:r>
      <w:r w:rsidRPr="001F32D4">
        <w:rPr>
          <w:snapToGrid w:val="0"/>
        </w:rPr>
        <w:t>.  </w:t>
      </w:r>
      <w:r w:rsidRPr="001F32D4" w:rsidR="00306915">
        <w:rPr>
          <w:snapToGrid w:val="0"/>
        </w:rPr>
        <w:t>T</w:t>
      </w:r>
      <w:r w:rsidRPr="001F32D4">
        <w:rPr>
          <w:snapToGrid w:val="0"/>
        </w:rPr>
        <w:t>he Court finds</w:t>
      </w:r>
      <w:r w:rsidRPr="001F32D4" w:rsidR="00F77BCB">
        <w:rPr>
          <w:snapToGrid w:val="0"/>
        </w:rPr>
        <w:t xml:space="preserve"> that the applicants in the present cases, holders of 1982 bonds which cannot be redeemed and in respect of which no compensation is available, are in the same position as </w:t>
      </w:r>
      <w:r w:rsidRPr="001F32D4" w:rsidR="005B7799">
        <w:rPr>
          <w:snapToGrid w:val="0"/>
        </w:rPr>
        <w:t>applicants</w:t>
      </w:r>
      <w:r w:rsidRPr="001F32D4" w:rsidR="00F77BCB">
        <w:rPr>
          <w:snapToGrid w:val="0"/>
        </w:rPr>
        <w:t xml:space="preserve"> in previous cases. It further finds, </w:t>
      </w:r>
      <w:r w:rsidRPr="001F32D4">
        <w:rPr>
          <w:snapToGrid w:val="0"/>
        </w:rPr>
        <w:t xml:space="preserve">as it did in the above-cited cases, that the Russian authorities, by imposing successive limitations on the </w:t>
      </w:r>
      <w:r w:rsidRPr="001F32D4" w:rsidR="001F3E11">
        <w:rPr>
          <w:snapToGrid w:val="0"/>
        </w:rPr>
        <w:t xml:space="preserve">implementation </w:t>
      </w:r>
      <w:r w:rsidRPr="001F32D4">
        <w:rPr>
          <w:snapToGrid w:val="0"/>
        </w:rPr>
        <w:t>of the legislative and regulatory framework establishing the basis for the applicants</w:t>
      </w:r>
      <w:r w:rsidRPr="001F32D4" w:rsidR="001F32D4">
        <w:rPr>
          <w:snapToGrid w:val="0"/>
        </w:rPr>
        <w:t>’</w:t>
      </w:r>
      <w:r w:rsidRPr="001F32D4">
        <w:rPr>
          <w:snapToGrid w:val="0"/>
        </w:rPr>
        <w:t xml:space="preserve"> right to redemption of the</w:t>
      </w:r>
      <w:r w:rsidRPr="001F32D4" w:rsidR="00A43C33">
        <w:rPr>
          <w:snapToGrid w:val="0"/>
        </w:rPr>
        <w:t>ir</w:t>
      </w:r>
      <w:r w:rsidRPr="001F32D4">
        <w:rPr>
          <w:snapToGrid w:val="0"/>
        </w:rPr>
        <w:t xml:space="preserve"> 1982</w:t>
      </w:r>
      <w:r w:rsidRPr="001F32D4" w:rsidR="00A43C33">
        <w:rPr>
          <w:snapToGrid w:val="0"/>
        </w:rPr>
        <w:t xml:space="preserve"> premium</w:t>
      </w:r>
      <w:r w:rsidRPr="001F32D4">
        <w:rPr>
          <w:snapToGrid w:val="0"/>
        </w:rPr>
        <w:t xml:space="preserve"> bonds and by failing for years to put into practice the procedure for implementation of that entitlement, kept the applicants in a state of uncertainty, which was incompatible in itself with the obligation arising under Article 1 of Protocol No. 1 to secure the peaceful enjoyment of possessions, notably with the duty to act in good time and in an appropriate and consistent manner where an issue of general interest is at stake (see </w:t>
      </w:r>
      <w:proofErr w:type="spellStart"/>
      <w:r w:rsidRPr="001F32D4">
        <w:rPr>
          <w:i/>
          <w:snapToGrid w:val="0"/>
        </w:rPr>
        <w:t>Malysh</w:t>
      </w:r>
      <w:proofErr w:type="spellEnd"/>
      <w:r w:rsidRPr="001F32D4">
        <w:rPr>
          <w:i/>
          <w:snapToGrid w:val="0"/>
        </w:rPr>
        <w:t xml:space="preserve"> and Others</w:t>
      </w:r>
      <w:r w:rsidRPr="001F32D4">
        <w:rPr>
          <w:snapToGrid w:val="0"/>
        </w:rPr>
        <w:t xml:space="preserve">, § 85, and </w:t>
      </w:r>
      <w:r w:rsidRPr="001F32D4">
        <w:rPr>
          <w:i/>
          <w:snapToGrid w:val="0"/>
        </w:rPr>
        <w:t xml:space="preserve">Yuriy </w:t>
      </w:r>
      <w:proofErr w:type="spellStart"/>
      <w:r w:rsidRPr="001F32D4">
        <w:rPr>
          <w:i/>
          <w:snapToGrid w:val="0"/>
        </w:rPr>
        <w:t>Lobanov</w:t>
      </w:r>
      <w:proofErr w:type="spellEnd"/>
      <w:r w:rsidRPr="001F32D4">
        <w:rPr>
          <w:snapToGrid w:val="0"/>
        </w:rPr>
        <w:t>, § 54, both cited above).</w:t>
      </w:r>
    </w:p>
    <w:p w:rsidRPr="001F32D4" w:rsidR="00A356F5" w:rsidP="001F32D4" w:rsidRDefault="00A356F5">
      <w:pPr>
        <w:pStyle w:val="ECHRPara"/>
        <w:rPr>
          <w:snapToGrid w:val="0"/>
        </w:rPr>
      </w:pPr>
      <w:r w:rsidRPr="001F32D4">
        <w:rPr>
          <w:snapToGrid w:val="0"/>
        </w:rPr>
        <w:fldChar w:fldCharType="begin"/>
      </w:r>
      <w:r w:rsidRPr="001F32D4">
        <w:rPr>
          <w:snapToGrid w:val="0"/>
        </w:rPr>
        <w:instrText xml:space="preserve"> SEQ level0 \*arabic </w:instrText>
      </w:r>
      <w:r w:rsidRPr="001F32D4">
        <w:rPr>
          <w:snapToGrid w:val="0"/>
        </w:rPr>
        <w:fldChar w:fldCharType="separate"/>
      </w:r>
      <w:r w:rsidRPr="001F32D4" w:rsidR="001F32D4">
        <w:rPr>
          <w:noProof/>
          <w:snapToGrid w:val="0"/>
        </w:rPr>
        <w:t>28</w:t>
      </w:r>
      <w:r w:rsidRPr="001F32D4">
        <w:rPr>
          <w:snapToGrid w:val="0"/>
        </w:rPr>
        <w:fldChar w:fldCharType="end"/>
      </w:r>
      <w:r w:rsidRPr="001F32D4">
        <w:rPr>
          <w:snapToGrid w:val="0"/>
        </w:rPr>
        <w:t>.  There has therefore been a violation of Article 1 of Protocol No. 1.</w:t>
      </w:r>
    </w:p>
    <w:p w:rsidRPr="001F32D4" w:rsidR="00583D36" w:rsidP="001F32D4" w:rsidRDefault="00583D36">
      <w:pPr>
        <w:pStyle w:val="ECHRHeading1"/>
      </w:pPr>
      <w:r w:rsidRPr="001F32D4">
        <w:t>III.</w:t>
      </w:r>
      <w:proofErr w:type="gramStart"/>
      <w:r w:rsidRPr="001F32D4">
        <w:t>  APPLICATION</w:t>
      </w:r>
      <w:proofErr w:type="gramEnd"/>
      <w:r w:rsidRPr="001F32D4">
        <w:t xml:space="preserve"> OF ARTICLE 41 OF THE CONVENTION</w:t>
      </w:r>
    </w:p>
    <w:p w:rsidRPr="001F32D4" w:rsidR="00583D36" w:rsidP="001F32D4" w:rsidRDefault="00583D36">
      <w:pPr>
        <w:pStyle w:val="ECHRPara"/>
      </w:pPr>
      <w:r w:rsidRPr="001F32D4">
        <w:fldChar w:fldCharType="begin"/>
      </w:r>
      <w:r w:rsidRPr="001F32D4">
        <w:instrText xml:space="preserve"> SEQ level0 \*arabic </w:instrText>
      </w:r>
      <w:r w:rsidRPr="001F32D4">
        <w:fldChar w:fldCharType="separate"/>
      </w:r>
      <w:r w:rsidRPr="001F32D4" w:rsidR="001F32D4">
        <w:rPr>
          <w:noProof/>
        </w:rPr>
        <w:t>29</w:t>
      </w:r>
      <w:r w:rsidRPr="001F32D4">
        <w:fldChar w:fldCharType="end"/>
      </w:r>
      <w:r w:rsidRPr="001F32D4">
        <w:t>.  Article 41 of the Convention provides:</w:t>
      </w:r>
    </w:p>
    <w:p w:rsidRPr="001F32D4" w:rsidR="00583D36" w:rsidP="001F32D4" w:rsidRDefault="00583D36">
      <w:pPr>
        <w:pStyle w:val="ECHRParaQuote"/>
      </w:pPr>
      <w:r w:rsidRPr="001F32D4">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Pr="001F32D4" w:rsidR="00014566" w:rsidP="001F32D4" w:rsidRDefault="00014566">
      <w:pPr>
        <w:pStyle w:val="ECHRHeading2"/>
      </w:pPr>
      <w:r w:rsidRPr="001F32D4">
        <w:t>A.  Damage</w:t>
      </w:r>
    </w:p>
    <w:p w:rsidRPr="001F32D4" w:rsidR="00014566" w:rsidP="001F32D4" w:rsidRDefault="00FD03DD">
      <w:pPr>
        <w:pStyle w:val="ECHRPara"/>
      </w:pPr>
      <w:r w:rsidRPr="001F32D4">
        <w:fldChar w:fldCharType="begin"/>
      </w:r>
      <w:r w:rsidRPr="001F32D4">
        <w:instrText xml:space="preserve"> SEQ level0 \*arabic </w:instrText>
      </w:r>
      <w:r w:rsidRPr="001F32D4">
        <w:fldChar w:fldCharType="separate"/>
      </w:r>
      <w:r w:rsidRPr="001F32D4" w:rsidR="001F32D4">
        <w:rPr>
          <w:noProof/>
        </w:rPr>
        <w:t>30</w:t>
      </w:r>
      <w:r w:rsidRPr="001F32D4">
        <w:fldChar w:fldCharType="end"/>
      </w:r>
      <w:r w:rsidRPr="001F32D4" w:rsidR="00014566">
        <w:t>.  The applicant</w:t>
      </w:r>
      <w:r w:rsidRPr="001F32D4">
        <w:t>s</w:t>
      </w:r>
      <w:r w:rsidRPr="001F32D4" w:rsidR="00014566">
        <w:t xml:space="preserve"> claimed </w:t>
      </w:r>
      <w:r w:rsidRPr="001F32D4" w:rsidR="00DE3762">
        <w:t>the amounts listed in the Appendix</w:t>
      </w:r>
      <w:r w:rsidRPr="001F32D4" w:rsidR="00014566">
        <w:t xml:space="preserve"> in respect of pecuniary and non-pecuniary damage.</w:t>
      </w:r>
    </w:p>
    <w:p w:rsidRPr="001F32D4" w:rsidR="00014566" w:rsidP="001F32D4" w:rsidRDefault="00FD03DD">
      <w:pPr>
        <w:pStyle w:val="ECHRPara"/>
      </w:pPr>
      <w:r w:rsidRPr="001F32D4">
        <w:fldChar w:fldCharType="begin"/>
      </w:r>
      <w:r w:rsidRPr="001F32D4">
        <w:instrText xml:space="preserve"> SEQ level0 \*arabic </w:instrText>
      </w:r>
      <w:r w:rsidRPr="001F32D4">
        <w:fldChar w:fldCharType="separate"/>
      </w:r>
      <w:r w:rsidRPr="001F32D4" w:rsidR="001F32D4">
        <w:rPr>
          <w:noProof/>
        </w:rPr>
        <w:t>31</w:t>
      </w:r>
      <w:r w:rsidRPr="001F32D4">
        <w:fldChar w:fldCharType="end"/>
      </w:r>
      <w:r w:rsidRPr="001F32D4" w:rsidR="00014566">
        <w:t xml:space="preserve">.  The Government </w:t>
      </w:r>
      <w:r w:rsidRPr="001F32D4" w:rsidR="00680D1E">
        <w:t xml:space="preserve">submitted that </w:t>
      </w:r>
      <w:r w:rsidRPr="001F32D4" w:rsidR="006E243A">
        <w:t xml:space="preserve">Mr </w:t>
      </w:r>
      <w:proofErr w:type="spellStart"/>
      <w:r w:rsidRPr="001F32D4" w:rsidR="006E243A">
        <w:t>Israfilov</w:t>
      </w:r>
      <w:proofErr w:type="spellEnd"/>
      <w:r w:rsidRPr="001F32D4" w:rsidR="006E243A">
        <w:t xml:space="preserve">, </w:t>
      </w:r>
      <w:r w:rsidRPr="001F32D4" w:rsidR="002E6C67">
        <w:t xml:space="preserve">Mr </w:t>
      </w:r>
      <w:proofErr w:type="spellStart"/>
      <w:r w:rsidRPr="001F32D4" w:rsidR="002E6C67">
        <w:t>Galayev</w:t>
      </w:r>
      <w:proofErr w:type="spellEnd"/>
      <w:r w:rsidRPr="001F32D4" w:rsidR="002E6C67">
        <w:t>, Mr </w:t>
      </w:r>
      <w:r w:rsidRPr="001F32D4" w:rsidR="00680D1E">
        <w:t xml:space="preserve">Laptev and Mr </w:t>
      </w:r>
      <w:proofErr w:type="spellStart"/>
      <w:r w:rsidRPr="001F32D4" w:rsidR="00680D1E">
        <w:t>Zheltov</w:t>
      </w:r>
      <w:proofErr w:type="spellEnd"/>
      <w:r w:rsidRPr="001F32D4" w:rsidR="00680D1E">
        <w:t xml:space="preserve"> had not </w:t>
      </w:r>
      <w:r w:rsidRPr="001F32D4" w:rsidR="00C60E5F">
        <w:t>filed</w:t>
      </w:r>
      <w:r w:rsidRPr="001F32D4" w:rsidR="00680D1E">
        <w:t xml:space="preserve"> any claims </w:t>
      </w:r>
      <w:r w:rsidRPr="001F32D4" w:rsidR="00C60E5F">
        <w:t xml:space="preserve">with </w:t>
      </w:r>
      <w:r w:rsidRPr="001F32D4" w:rsidR="009A2A32">
        <w:t xml:space="preserve">the </w:t>
      </w:r>
      <w:r w:rsidRPr="001F32D4" w:rsidR="00680D1E">
        <w:t>Russian courts for the redemption of their bonds. Accordingly, it had not been established in the domestic proceedings that they had been the lawful owners of the bonds.</w:t>
      </w:r>
      <w:r w:rsidRPr="001F32D4" w:rsidR="00C60E5F">
        <w:t xml:space="preserve"> </w:t>
      </w:r>
      <w:r w:rsidRPr="001F32D4" w:rsidR="009A2A32">
        <w:t>They further submitted that t</w:t>
      </w:r>
      <w:r w:rsidRPr="001F32D4" w:rsidR="00C60E5F">
        <w:t>he</w:t>
      </w:r>
      <w:r w:rsidRPr="001F32D4" w:rsidR="00415438">
        <w:t xml:space="preserve"> suggested</w:t>
      </w:r>
      <w:r w:rsidRPr="001F32D4" w:rsidR="00C60E5F">
        <w:t xml:space="preserve"> method of calculation </w:t>
      </w:r>
      <w:r w:rsidRPr="001F32D4" w:rsidR="008F6762">
        <w:t xml:space="preserve">in respect </w:t>
      </w:r>
      <w:r w:rsidRPr="001F32D4" w:rsidR="00C60E5F">
        <w:t>of pecuniary damage</w:t>
      </w:r>
      <w:r w:rsidRPr="001F32D4" w:rsidR="00CA71AF">
        <w:t xml:space="preserve"> </w:t>
      </w:r>
      <w:r w:rsidRPr="001F32D4" w:rsidR="00C60E5F">
        <w:t xml:space="preserve">could not be applied because it had been </w:t>
      </w:r>
      <w:r w:rsidRPr="001F32D4" w:rsidR="00415438">
        <w:t xml:space="preserve">based </w:t>
      </w:r>
      <w:r w:rsidRPr="001F32D4" w:rsidR="00C60E5F">
        <w:t>on the suspended legislation. In any event, the claims were unreasonable.</w:t>
      </w:r>
    </w:p>
    <w:p w:rsidRPr="001F32D4" w:rsidR="00680D1E" w:rsidP="001F32D4" w:rsidRDefault="00DE3762">
      <w:pPr>
        <w:pStyle w:val="ECHRPara"/>
      </w:pPr>
      <w:r w:rsidRPr="001F32D4">
        <w:fldChar w:fldCharType="begin"/>
      </w:r>
      <w:r w:rsidRPr="001F32D4">
        <w:instrText xml:space="preserve"> SEQ level0 \*arabic </w:instrText>
      </w:r>
      <w:r w:rsidRPr="001F32D4">
        <w:fldChar w:fldCharType="separate"/>
      </w:r>
      <w:r w:rsidRPr="001F32D4" w:rsidR="001F32D4">
        <w:rPr>
          <w:noProof/>
        </w:rPr>
        <w:t>32</w:t>
      </w:r>
      <w:r w:rsidRPr="001F32D4">
        <w:fldChar w:fldCharType="end"/>
      </w:r>
      <w:r w:rsidRPr="001F32D4">
        <w:t xml:space="preserve">.  The Court notes that Ms </w:t>
      </w:r>
      <w:proofErr w:type="spellStart"/>
      <w:r w:rsidRPr="001F32D4">
        <w:t>Losyakova</w:t>
      </w:r>
      <w:proofErr w:type="spellEnd"/>
      <w:r w:rsidRPr="001F32D4">
        <w:t xml:space="preserve">, Mr </w:t>
      </w:r>
      <w:proofErr w:type="spellStart"/>
      <w:r w:rsidRPr="001F32D4">
        <w:t>Israfilov</w:t>
      </w:r>
      <w:proofErr w:type="spellEnd"/>
      <w:r w:rsidRPr="001F32D4">
        <w:t xml:space="preserve">, Mr </w:t>
      </w:r>
      <w:proofErr w:type="spellStart"/>
      <w:r w:rsidRPr="001F32D4">
        <w:t>Kosachev</w:t>
      </w:r>
      <w:proofErr w:type="spellEnd"/>
      <w:r w:rsidRPr="001F32D4">
        <w:t xml:space="preserve"> and Mr </w:t>
      </w:r>
      <w:proofErr w:type="spellStart"/>
      <w:r w:rsidRPr="001F32D4">
        <w:t>Vologin</w:t>
      </w:r>
      <w:proofErr w:type="spellEnd"/>
      <w:r w:rsidRPr="001F32D4">
        <w:t xml:space="preserve"> did not submit </w:t>
      </w:r>
      <w:r w:rsidRPr="001F32D4" w:rsidR="004A70B3">
        <w:t xml:space="preserve">a </w:t>
      </w:r>
      <w:r w:rsidRPr="001F32D4">
        <w:t xml:space="preserve">claim for just satisfaction when invited to do so. Their prior indications of desirable reparation in the application form cannot replace a properly articulated claim (see </w:t>
      </w:r>
      <w:proofErr w:type="spellStart"/>
      <w:r w:rsidRPr="001F32D4">
        <w:rPr>
          <w:i/>
        </w:rPr>
        <w:t>Nagmetov</w:t>
      </w:r>
      <w:proofErr w:type="spellEnd"/>
      <w:r w:rsidRPr="001F32D4">
        <w:rPr>
          <w:i/>
        </w:rPr>
        <w:t xml:space="preserve"> v. Russia</w:t>
      </w:r>
      <w:r w:rsidRPr="001F32D4">
        <w:t xml:space="preserve"> [GC], no. 35589/08, §§ 59 and 75, 30 March 2017). In the absence of any exceptional circumstances (</w:t>
      </w:r>
      <w:proofErr w:type="gramStart"/>
      <w:r w:rsidRPr="001F32D4">
        <w:t>ibid.,</w:t>
      </w:r>
      <w:proofErr w:type="gramEnd"/>
      <w:r w:rsidRPr="001F32D4">
        <w:t xml:space="preserve"> §§ 77-82), the Court makes no award to these applicants.</w:t>
      </w:r>
    </w:p>
    <w:p w:rsidRPr="001F32D4" w:rsidR="001A5A2D" w:rsidP="001F32D4" w:rsidRDefault="001A5A2D">
      <w:pPr>
        <w:pStyle w:val="ECHRHeading3"/>
      </w:pPr>
      <w:r w:rsidRPr="001F32D4">
        <w:t>1.  Pecuniary damage</w:t>
      </w:r>
    </w:p>
    <w:p w:rsidRPr="001F32D4" w:rsidR="001143E3" w:rsidP="001F32D4" w:rsidRDefault="00DE3762">
      <w:pPr>
        <w:pStyle w:val="ECHRPara"/>
      </w:pPr>
      <w:r w:rsidRPr="001F32D4">
        <w:fldChar w:fldCharType="begin"/>
      </w:r>
      <w:r w:rsidRPr="001F32D4">
        <w:instrText xml:space="preserve"> SEQ level0 \*arabic </w:instrText>
      </w:r>
      <w:r w:rsidRPr="001F32D4">
        <w:fldChar w:fldCharType="separate"/>
      </w:r>
      <w:r w:rsidRPr="001F32D4" w:rsidR="001F32D4">
        <w:rPr>
          <w:noProof/>
        </w:rPr>
        <w:t>33</w:t>
      </w:r>
      <w:r w:rsidRPr="001F32D4">
        <w:fldChar w:fldCharType="end"/>
      </w:r>
      <w:r w:rsidRPr="001F32D4">
        <w:t>.  </w:t>
      </w:r>
      <w:r w:rsidRPr="001F32D4" w:rsidR="00CC2A4D">
        <w:t xml:space="preserve">On the matter of pecuniary damage, the Court notes that the 1982 </w:t>
      </w:r>
      <w:r w:rsidRPr="001F32D4" w:rsidR="00A43C33">
        <w:t xml:space="preserve">premium </w:t>
      </w:r>
      <w:r w:rsidRPr="001F32D4" w:rsidR="00CC2A4D">
        <w:t xml:space="preserve">bonds </w:t>
      </w:r>
      <w:r w:rsidRPr="001F32D4" w:rsidR="004A70B3">
        <w:t xml:space="preserve">were </w:t>
      </w:r>
      <w:r w:rsidRPr="001F32D4" w:rsidR="003307A3">
        <w:t xml:space="preserve">never restricted in circulation and could be sold and bought </w:t>
      </w:r>
      <w:r w:rsidRPr="001F32D4" w:rsidR="008F6762">
        <w:t xml:space="preserve">freely </w:t>
      </w:r>
      <w:r w:rsidRPr="001F32D4" w:rsidR="00992ED4">
        <w:t>at any time</w:t>
      </w:r>
      <w:r w:rsidRPr="001F32D4" w:rsidR="003307A3">
        <w:t xml:space="preserve">. However, their price </w:t>
      </w:r>
      <w:r w:rsidRPr="001F32D4" w:rsidR="007158CF">
        <w:t xml:space="preserve">at any given time </w:t>
      </w:r>
      <w:r w:rsidRPr="001F32D4" w:rsidR="003307A3">
        <w:t>must have been subject to great fluctuations reflecting</w:t>
      </w:r>
      <w:r w:rsidRPr="001F32D4" w:rsidR="004A70B3">
        <w:t xml:space="preserve"> the</w:t>
      </w:r>
      <w:r w:rsidRPr="001F32D4" w:rsidR="003307A3">
        <w:t xml:space="preserve"> tumultuous development of the Russian economy and evolution of the applicable legal framework. A period of stability in the USSR when the bonds were used as </w:t>
      </w:r>
      <w:r w:rsidRPr="001F32D4" w:rsidR="004A70B3">
        <w:t xml:space="preserve">a </w:t>
      </w:r>
      <w:r w:rsidRPr="001F32D4" w:rsidR="003307A3">
        <w:t xml:space="preserve">money substitute at nominal value was followed by rampant inflation </w:t>
      </w:r>
      <w:r w:rsidRPr="001F32D4" w:rsidR="00DE4C2B">
        <w:t xml:space="preserve">and </w:t>
      </w:r>
      <w:r w:rsidRPr="001F32D4" w:rsidR="004A70B3">
        <w:t xml:space="preserve">a </w:t>
      </w:r>
      <w:r w:rsidRPr="001F32D4" w:rsidR="00DE4C2B">
        <w:t xml:space="preserve">sharp depreciation of </w:t>
      </w:r>
      <w:r w:rsidRPr="001F32D4" w:rsidR="005957FE">
        <w:t xml:space="preserve">the </w:t>
      </w:r>
      <w:r w:rsidRPr="001F32D4" w:rsidR="00DE4C2B">
        <w:t xml:space="preserve">national currency </w:t>
      </w:r>
      <w:r w:rsidRPr="001F32D4" w:rsidR="003307A3">
        <w:t>in the newly independent Russia. The legitimate expectation that the enactment of the Savings Protection Act gave the bond</w:t>
      </w:r>
      <w:r w:rsidRPr="001F32D4" w:rsidR="00764BAA">
        <w:t>holders</w:t>
      </w:r>
      <w:r w:rsidRPr="001F32D4" w:rsidR="003307A3">
        <w:t xml:space="preserve"> in 1995 was later frustrated by its continuous suspension </w:t>
      </w:r>
      <w:r w:rsidRPr="001F32D4" w:rsidR="00172302">
        <w:t xml:space="preserve">after 2003. </w:t>
      </w:r>
      <w:r w:rsidRPr="001F32D4" w:rsidR="00554846">
        <w:t>Those developments must have affected the value of the bonds and the amount to be awarded to the applicants for the loss actually sustained (</w:t>
      </w:r>
      <w:r w:rsidRPr="001F32D4" w:rsidR="00554846">
        <w:rPr>
          <w:i/>
        </w:rPr>
        <w:t xml:space="preserve">damnum </w:t>
      </w:r>
      <w:proofErr w:type="spellStart"/>
      <w:r w:rsidRPr="001F32D4" w:rsidR="00554846">
        <w:rPr>
          <w:i/>
        </w:rPr>
        <w:t>emergens</w:t>
      </w:r>
      <w:proofErr w:type="spellEnd"/>
      <w:r w:rsidRPr="001F32D4" w:rsidR="00554846">
        <w:t>). The situation of applicant</w:t>
      </w:r>
      <w:r w:rsidRPr="001F32D4" w:rsidR="00647B8A">
        <w:t>s</w:t>
      </w:r>
      <w:r w:rsidRPr="001F32D4" w:rsidR="00554846">
        <w:t xml:space="preserve"> who </w:t>
      </w:r>
      <w:r w:rsidRPr="001F32D4" w:rsidR="00647B8A">
        <w:t xml:space="preserve">acquired bonds in the Soviet times at </w:t>
      </w:r>
      <w:r w:rsidRPr="001F32D4" w:rsidR="00E6035C">
        <w:t>full</w:t>
      </w:r>
      <w:r w:rsidRPr="001F32D4" w:rsidR="00647B8A">
        <w:t xml:space="preserve"> value must </w:t>
      </w:r>
      <w:r w:rsidRPr="001F32D4" w:rsidR="00695F02">
        <w:t>accordingly</w:t>
      </w:r>
      <w:r w:rsidRPr="001F32D4" w:rsidR="00647B8A">
        <w:t xml:space="preserve"> be distinguished from those who bought them in the later period </w:t>
      </w:r>
      <w:r w:rsidRPr="001F32D4" w:rsidR="00695F02">
        <w:t xml:space="preserve">on account of differences in their </w:t>
      </w:r>
      <w:r w:rsidRPr="001F32D4" w:rsidR="001F543F">
        <w:t xml:space="preserve">respective </w:t>
      </w:r>
      <w:r w:rsidRPr="001F32D4" w:rsidR="00695F02">
        <w:t>financial exposure</w:t>
      </w:r>
      <w:r w:rsidRPr="001F32D4" w:rsidR="00647B8A">
        <w:t xml:space="preserve">. </w:t>
      </w:r>
      <w:r w:rsidRPr="001F32D4" w:rsidR="00F01EF4">
        <w:t>With a view to determining the value of the actual damage the applicants sustained, t</w:t>
      </w:r>
      <w:r w:rsidRPr="001F32D4" w:rsidR="00172302">
        <w:t xml:space="preserve">he Court </w:t>
      </w:r>
      <w:r w:rsidRPr="001F32D4" w:rsidR="00F01EF4">
        <w:t xml:space="preserve">asked each of them </w:t>
      </w:r>
      <w:r w:rsidRPr="001F32D4" w:rsidR="00172302">
        <w:t xml:space="preserve">to specify the </w:t>
      </w:r>
      <w:r w:rsidRPr="001F32D4" w:rsidR="00F01EF4">
        <w:t>time and manner of acquisition</w:t>
      </w:r>
      <w:r w:rsidRPr="001F32D4" w:rsidR="007D12D8">
        <w:t xml:space="preserve"> of</w:t>
      </w:r>
      <w:r w:rsidRPr="001F32D4" w:rsidR="00172302">
        <w:t xml:space="preserve"> the 1982 bonds in their possession, and the purchase price, if any, they had paid. </w:t>
      </w:r>
      <w:r w:rsidRPr="001F32D4" w:rsidR="00F516DF">
        <w:t>A summary of their replies is given in the Appendix.</w:t>
      </w:r>
    </w:p>
    <w:p w:rsidRPr="001F32D4" w:rsidR="00CC2A4D" w:rsidP="001F32D4" w:rsidRDefault="00F516DF">
      <w:pPr>
        <w:pStyle w:val="ECHRPara"/>
      </w:pPr>
      <w:r w:rsidRPr="001F32D4">
        <w:fldChar w:fldCharType="begin"/>
      </w:r>
      <w:r w:rsidRPr="001F32D4">
        <w:instrText xml:space="preserve"> SEQ level0 \*arabic </w:instrText>
      </w:r>
      <w:r w:rsidRPr="001F32D4">
        <w:fldChar w:fldCharType="separate"/>
      </w:r>
      <w:r w:rsidRPr="001F32D4" w:rsidR="001F32D4">
        <w:rPr>
          <w:noProof/>
        </w:rPr>
        <w:t>34</w:t>
      </w:r>
      <w:r w:rsidRPr="001F32D4">
        <w:fldChar w:fldCharType="end"/>
      </w:r>
      <w:r w:rsidRPr="001F32D4">
        <w:t>.  </w:t>
      </w:r>
      <w:r w:rsidRPr="001F32D4" w:rsidR="00172302">
        <w:t xml:space="preserve">Mr </w:t>
      </w:r>
      <w:proofErr w:type="spellStart"/>
      <w:r w:rsidRPr="001F32D4" w:rsidR="00172302">
        <w:t>Volokitin</w:t>
      </w:r>
      <w:proofErr w:type="spellEnd"/>
      <w:r w:rsidRPr="001F32D4" w:rsidR="00172302">
        <w:t xml:space="preserve">, Mr </w:t>
      </w:r>
      <w:proofErr w:type="spellStart"/>
      <w:r w:rsidRPr="001F32D4" w:rsidR="00172302">
        <w:t>Losyakov</w:t>
      </w:r>
      <w:proofErr w:type="spellEnd"/>
      <w:r w:rsidRPr="001F32D4" w:rsidR="00172302">
        <w:t xml:space="preserve">, Mr </w:t>
      </w:r>
      <w:proofErr w:type="spellStart"/>
      <w:r w:rsidRPr="001F32D4" w:rsidR="00172302">
        <w:t>Ruzanov</w:t>
      </w:r>
      <w:proofErr w:type="spellEnd"/>
      <w:r w:rsidRPr="001F32D4" w:rsidR="00172302">
        <w:t xml:space="preserve"> and Mr </w:t>
      </w:r>
      <w:proofErr w:type="spellStart"/>
      <w:r w:rsidRPr="001F32D4" w:rsidR="00172302">
        <w:t>Zheltov</w:t>
      </w:r>
      <w:proofErr w:type="spellEnd"/>
      <w:r w:rsidRPr="001F32D4" w:rsidR="00172302">
        <w:t xml:space="preserve"> </w:t>
      </w:r>
      <w:r w:rsidRPr="001F32D4" w:rsidR="004A70B3">
        <w:t xml:space="preserve">did </w:t>
      </w:r>
      <w:r w:rsidRPr="001F32D4" w:rsidR="00172302">
        <w:t>no</w:t>
      </w:r>
      <w:r w:rsidRPr="001F32D4" w:rsidR="004A70B3">
        <w:t>t</w:t>
      </w:r>
      <w:r w:rsidRPr="001F32D4" w:rsidR="00172302">
        <w:t xml:space="preserve"> reply to the Court</w:t>
      </w:r>
      <w:r w:rsidRPr="001F32D4" w:rsidR="001F32D4">
        <w:t>’</w:t>
      </w:r>
      <w:r w:rsidRPr="001F32D4" w:rsidR="00172302">
        <w:t xml:space="preserve">s </w:t>
      </w:r>
      <w:r w:rsidRPr="001F32D4" w:rsidR="00302491">
        <w:t>query</w:t>
      </w:r>
      <w:r w:rsidRPr="001F32D4" w:rsidR="00172302">
        <w:t xml:space="preserve">. </w:t>
      </w:r>
      <w:r w:rsidRPr="001F32D4" w:rsidR="00302491">
        <w:t>Having regard to</w:t>
      </w:r>
      <w:r w:rsidRPr="001F32D4" w:rsidR="00172302">
        <w:t xml:space="preserve"> Rule 60 § 3 of the Rules of Court and point</w:t>
      </w:r>
      <w:r w:rsidRPr="001F32D4" w:rsidR="00115EB0">
        <w:t xml:space="preserve">s </w:t>
      </w:r>
      <w:r w:rsidRPr="001F32D4" w:rsidR="0082659F">
        <w:t xml:space="preserve">5 </w:t>
      </w:r>
      <w:r w:rsidRPr="001F32D4" w:rsidR="00115EB0">
        <w:t>and</w:t>
      </w:r>
      <w:r w:rsidRPr="001F32D4" w:rsidR="00172302">
        <w:t xml:space="preserve"> 11 of the Practice Direct</w:t>
      </w:r>
      <w:r w:rsidRPr="001F32D4">
        <w:t xml:space="preserve">ion on just-satisfaction claims, the Court </w:t>
      </w:r>
      <w:r w:rsidRPr="001F32D4" w:rsidR="00302491">
        <w:t xml:space="preserve">finds that the absence of any reply on their part prevents it from establishing whether </w:t>
      </w:r>
      <w:r w:rsidRPr="001F32D4" w:rsidR="00115EB0">
        <w:t xml:space="preserve">or not </w:t>
      </w:r>
      <w:r w:rsidRPr="001F32D4" w:rsidR="00302491">
        <w:t xml:space="preserve">they have sustained any pecuniary damage and rejects </w:t>
      </w:r>
      <w:r w:rsidRPr="001F32D4">
        <w:t xml:space="preserve">their claims </w:t>
      </w:r>
      <w:r w:rsidRPr="001F32D4" w:rsidR="00302491">
        <w:t>under this head</w:t>
      </w:r>
      <w:r w:rsidRPr="001F32D4">
        <w:t>.</w:t>
      </w:r>
    </w:p>
    <w:p w:rsidRPr="001F32D4" w:rsidR="001143E3" w:rsidP="001F32D4" w:rsidRDefault="0077027E">
      <w:pPr>
        <w:pStyle w:val="ECHRPara"/>
      </w:pPr>
      <w:r w:rsidRPr="001F32D4">
        <w:fldChar w:fldCharType="begin"/>
      </w:r>
      <w:r w:rsidRPr="001F32D4">
        <w:instrText xml:space="preserve"> SEQ level0 \*arabic </w:instrText>
      </w:r>
      <w:r w:rsidRPr="001F32D4">
        <w:fldChar w:fldCharType="separate"/>
      </w:r>
      <w:r w:rsidRPr="001F32D4" w:rsidR="001F32D4">
        <w:rPr>
          <w:noProof/>
        </w:rPr>
        <w:t>35</w:t>
      </w:r>
      <w:r w:rsidRPr="001F32D4">
        <w:fldChar w:fldCharType="end"/>
      </w:r>
      <w:r w:rsidRPr="001F32D4">
        <w:t>.  </w:t>
      </w:r>
      <w:r w:rsidRPr="001F32D4" w:rsidR="0057701A">
        <w:t xml:space="preserve">Ms </w:t>
      </w:r>
      <w:proofErr w:type="spellStart"/>
      <w:r w:rsidRPr="001F32D4" w:rsidR="0057701A">
        <w:t>Alekseyeva</w:t>
      </w:r>
      <w:proofErr w:type="spellEnd"/>
      <w:r w:rsidRPr="001F32D4" w:rsidR="0057701A">
        <w:t xml:space="preserve">, Mr </w:t>
      </w:r>
      <w:proofErr w:type="spellStart"/>
      <w:r w:rsidRPr="001F32D4" w:rsidR="0057701A">
        <w:t>Galayev</w:t>
      </w:r>
      <w:proofErr w:type="spellEnd"/>
      <w:r w:rsidRPr="001F32D4" w:rsidR="0057701A">
        <w:t xml:space="preserve">, </w:t>
      </w:r>
      <w:r w:rsidRPr="001F32D4">
        <w:t xml:space="preserve">Mr </w:t>
      </w:r>
      <w:proofErr w:type="spellStart"/>
      <w:r w:rsidRPr="001F32D4">
        <w:t>Gusev</w:t>
      </w:r>
      <w:proofErr w:type="spellEnd"/>
      <w:r w:rsidRPr="001F32D4" w:rsidR="0057701A">
        <w:t xml:space="preserve"> and Mr </w:t>
      </w:r>
      <w:proofErr w:type="spellStart"/>
      <w:r w:rsidRPr="001F32D4" w:rsidR="0057701A">
        <w:t>Karagezov</w:t>
      </w:r>
      <w:proofErr w:type="spellEnd"/>
      <w:r w:rsidRPr="001F32D4">
        <w:t xml:space="preserve"> </w:t>
      </w:r>
      <w:r w:rsidRPr="001F32D4" w:rsidR="00510BD4">
        <w:t>claim</w:t>
      </w:r>
      <w:r w:rsidRPr="001F32D4" w:rsidR="00DE4C2B">
        <w:t>ed</w:t>
      </w:r>
      <w:r w:rsidRPr="001F32D4" w:rsidR="00510BD4">
        <w:t xml:space="preserve"> to </w:t>
      </w:r>
      <w:r w:rsidRPr="001F32D4">
        <w:t xml:space="preserve">possess </w:t>
      </w:r>
      <w:r w:rsidRPr="001F32D4" w:rsidR="007158CF">
        <w:t>very</w:t>
      </w:r>
      <w:r w:rsidRPr="001F32D4" w:rsidR="008B195A">
        <w:t xml:space="preserve"> large amounts of bonds which </w:t>
      </w:r>
      <w:r w:rsidRPr="001F32D4" w:rsidR="008F6762">
        <w:t xml:space="preserve">had been </w:t>
      </w:r>
      <w:r w:rsidRPr="001F32D4" w:rsidR="0065355A">
        <w:t xml:space="preserve">allegedly </w:t>
      </w:r>
      <w:r w:rsidRPr="001F32D4" w:rsidR="008B195A">
        <w:t>acquired</w:t>
      </w:r>
      <w:r w:rsidRPr="001F32D4" w:rsidR="00897AFF">
        <w:t xml:space="preserve"> </w:t>
      </w:r>
      <w:r w:rsidRPr="001F32D4" w:rsidR="008B195A">
        <w:t xml:space="preserve">in the Soviet times. </w:t>
      </w:r>
      <w:r w:rsidRPr="001F32D4" w:rsidR="00537766">
        <w:t xml:space="preserve">The Court notes that in the command economy of the Soviet Union, wages were determined by the State as the </w:t>
      </w:r>
      <w:r w:rsidRPr="001F32D4" w:rsidR="00746942">
        <w:t xml:space="preserve">sole </w:t>
      </w:r>
      <w:r w:rsidRPr="001F32D4" w:rsidR="00537766">
        <w:t xml:space="preserve">employer and their amount deviated little from the mean. A Soviet </w:t>
      </w:r>
      <w:r w:rsidRPr="001F32D4" w:rsidR="00746942">
        <w:t>worker</w:t>
      </w:r>
      <w:r w:rsidRPr="001F32D4" w:rsidR="00537766">
        <w:t xml:space="preserve"> earning on average 3,000 </w:t>
      </w:r>
      <w:r w:rsidRPr="001F32D4" w:rsidR="00BC4AC0">
        <w:t xml:space="preserve">Soviet roubles (SUR) </w:t>
      </w:r>
      <w:r w:rsidRPr="001F32D4" w:rsidR="00537766">
        <w:t xml:space="preserve">a year (see paragraph </w:t>
      </w:r>
      <w:r w:rsidRPr="001F32D4" w:rsidR="00537766">
        <w:fldChar w:fldCharType="begin"/>
      </w:r>
      <w:r w:rsidRPr="001F32D4" w:rsidR="00537766">
        <w:instrText xml:space="preserve"> REF issuein1982 \h </w:instrText>
      </w:r>
      <w:r w:rsidRPr="001F32D4" w:rsidR="00537766">
        <w:fldChar w:fldCharType="separate"/>
      </w:r>
      <w:r w:rsidRPr="001F32D4" w:rsidR="001F32D4">
        <w:rPr>
          <w:noProof/>
        </w:rPr>
        <w:t>7</w:t>
      </w:r>
      <w:r w:rsidRPr="001F32D4" w:rsidR="00537766">
        <w:fldChar w:fldCharType="end"/>
      </w:r>
      <w:r w:rsidRPr="001F32D4" w:rsidR="00537766">
        <w:t xml:space="preserve"> above) would </w:t>
      </w:r>
      <w:r w:rsidRPr="001F32D4" w:rsidR="00FB166B">
        <w:t xml:space="preserve">have </w:t>
      </w:r>
      <w:r w:rsidRPr="001F32D4" w:rsidR="00537766">
        <w:t>need</w:t>
      </w:r>
      <w:r w:rsidRPr="001F32D4" w:rsidR="00FB166B">
        <w:t>ed</w:t>
      </w:r>
      <w:r w:rsidRPr="001F32D4" w:rsidR="00537766">
        <w:t xml:space="preserve"> to </w:t>
      </w:r>
      <w:r w:rsidRPr="001F32D4" w:rsidR="00746942">
        <w:t xml:space="preserve">save </w:t>
      </w:r>
      <w:r w:rsidRPr="001F32D4" w:rsidR="00537766">
        <w:t xml:space="preserve">for more than sixty years to amass sufficient money to acquire the amount of bonds Ms </w:t>
      </w:r>
      <w:proofErr w:type="spellStart"/>
      <w:r w:rsidRPr="001F32D4" w:rsidR="00537766">
        <w:t>Alekseyeva</w:t>
      </w:r>
      <w:proofErr w:type="spellEnd"/>
      <w:r w:rsidRPr="001F32D4" w:rsidR="00537766">
        <w:t xml:space="preserve"> claimed to have</w:t>
      </w:r>
      <w:r w:rsidRPr="001F32D4" w:rsidR="0065355A">
        <w:t xml:space="preserve"> (</w:t>
      </w:r>
      <w:r w:rsidRPr="001F32D4" w:rsidR="00BC4AC0">
        <w:t>SUR </w:t>
      </w:r>
      <w:r w:rsidRPr="001F32D4" w:rsidR="0065355A">
        <w:t>198,400)</w:t>
      </w:r>
      <w:r w:rsidRPr="001F32D4" w:rsidR="00537766">
        <w:t xml:space="preserve">. Her present </w:t>
      </w:r>
      <w:r w:rsidRPr="001F32D4" w:rsidR="008B195A">
        <w:t xml:space="preserve">claim must </w:t>
      </w:r>
      <w:r w:rsidRPr="001F32D4" w:rsidR="00537766">
        <w:t xml:space="preserve">moreover </w:t>
      </w:r>
      <w:r w:rsidRPr="001F32D4" w:rsidR="008B195A">
        <w:t xml:space="preserve">be seen in the light of the fact that she </w:t>
      </w:r>
      <w:r w:rsidRPr="001F32D4" w:rsidR="007158CF">
        <w:t xml:space="preserve">has </w:t>
      </w:r>
      <w:r w:rsidRPr="001F32D4" w:rsidR="00537766">
        <w:t xml:space="preserve">previously </w:t>
      </w:r>
      <w:r w:rsidRPr="001F32D4" w:rsidR="004A70B3">
        <w:t>managed to redeem</w:t>
      </w:r>
      <w:r w:rsidRPr="001F32D4" w:rsidR="008B195A">
        <w:t xml:space="preserve"> </w:t>
      </w:r>
      <w:r w:rsidRPr="001F32D4" w:rsidR="00537766">
        <w:t xml:space="preserve">SUR 103,000 worth of </w:t>
      </w:r>
      <w:r w:rsidRPr="001F32D4" w:rsidR="008B195A">
        <w:t xml:space="preserve">bonds through </w:t>
      </w:r>
      <w:r w:rsidRPr="001F32D4" w:rsidR="00537766">
        <w:t xml:space="preserve">a combination of </w:t>
      </w:r>
      <w:r w:rsidRPr="001F32D4" w:rsidR="008B195A">
        <w:t xml:space="preserve">the domestic and Strasbourg proceedings (see </w:t>
      </w:r>
      <w:proofErr w:type="spellStart"/>
      <w:r w:rsidRPr="001F32D4" w:rsidR="008B195A">
        <w:rPr>
          <w:i/>
        </w:rPr>
        <w:t>Alekseyeva</w:t>
      </w:r>
      <w:proofErr w:type="spellEnd"/>
      <w:r w:rsidRPr="001F32D4" w:rsidR="008B195A">
        <w:rPr>
          <w:i/>
        </w:rPr>
        <w:t xml:space="preserve"> v.</w:t>
      </w:r>
      <w:r w:rsidRPr="001F32D4" w:rsidR="00537766">
        <w:rPr>
          <w:i/>
        </w:rPr>
        <w:t> </w:t>
      </w:r>
      <w:r w:rsidRPr="001F32D4" w:rsidR="008B195A">
        <w:rPr>
          <w:i/>
        </w:rPr>
        <w:t>Russia</w:t>
      </w:r>
      <w:r w:rsidRPr="001F32D4" w:rsidR="008B195A">
        <w:t>, no.</w:t>
      </w:r>
      <w:r w:rsidRPr="001F32D4" w:rsidR="00537766">
        <w:t> </w:t>
      </w:r>
      <w:r w:rsidRPr="001F32D4" w:rsidR="008B195A">
        <w:t>36153/03, 11 December 2008, in which the Court awarded her 194,817</w:t>
      </w:r>
      <w:r w:rsidRPr="001F32D4" w:rsidR="007911B9">
        <w:t xml:space="preserve"> euros (EUR)</w:t>
      </w:r>
      <w:r w:rsidRPr="001F32D4" w:rsidR="008B195A">
        <w:t xml:space="preserve"> in respect of a domestic decision that had been quashed</w:t>
      </w:r>
      <w:r w:rsidRPr="001F32D4" w:rsidR="00801E77">
        <w:t xml:space="preserve"> in breach of the legal certainly principle</w:t>
      </w:r>
      <w:r w:rsidRPr="001F32D4" w:rsidR="008B195A">
        <w:t>).</w:t>
      </w:r>
      <w:r w:rsidRPr="001F32D4" w:rsidR="00E339A4">
        <w:t xml:space="preserve"> </w:t>
      </w:r>
      <w:r w:rsidRPr="001F32D4" w:rsidR="0065355A">
        <w:t xml:space="preserve">Had </w:t>
      </w:r>
      <w:r w:rsidRPr="001F32D4" w:rsidR="00156AD4">
        <w:t xml:space="preserve">she indeed acquired </w:t>
      </w:r>
      <w:r w:rsidRPr="001F32D4" w:rsidR="00746942">
        <w:t>her</w:t>
      </w:r>
      <w:r w:rsidRPr="001F32D4" w:rsidR="00156AD4">
        <w:t xml:space="preserve"> bonds in the Soviet times as she claimed, the absence of any mention of th</w:t>
      </w:r>
      <w:r w:rsidRPr="001F32D4" w:rsidR="00746942">
        <w:t>e</w:t>
      </w:r>
      <w:r w:rsidRPr="001F32D4" w:rsidR="00156AD4">
        <w:t xml:space="preserve"> additional amount of SUR 198,400 </w:t>
      </w:r>
      <w:r w:rsidRPr="001F32D4" w:rsidR="00746942">
        <w:t xml:space="preserve">– which she claims in the present case – </w:t>
      </w:r>
      <w:r w:rsidRPr="001F32D4" w:rsidR="00156AD4">
        <w:t xml:space="preserve">in her </w:t>
      </w:r>
      <w:r w:rsidRPr="001F32D4" w:rsidR="0065355A">
        <w:t>previous</w:t>
      </w:r>
      <w:r w:rsidRPr="001F32D4" w:rsidR="00156AD4">
        <w:t xml:space="preserve"> application to th</w:t>
      </w:r>
      <w:r w:rsidRPr="001F32D4" w:rsidR="00746942">
        <w:t>e</w:t>
      </w:r>
      <w:r w:rsidRPr="001F32D4" w:rsidR="00156AD4">
        <w:t xml:space="preserve"> </w:t>
      </w:r>
      <w:proofErr w:type="gramStart"/>
      <w:r w:rsidRPr="001F32D4" w:rsidR="00156AD4">
        <w:t>Court</w:t>
      </w:r>
      <w:proofErr w:type="gramEnd"/>
      <w:r w:rsidRPr="001F32D4" w:rsidR="00156AD4">
        <w:t xml:space="preserve"> begs the question</w:t>
      </w:r>
      <w:r w:rsidRPr="001F32D4" w:rsidR="00746942">
        <w:t xml:space="preserve"> </w:t>
      </w:r>
      <w:r w:rsidRPr="001F32D4" w:rsidR="00FB166B">
        <w:t xml:space="preserve">whether they had been in her possession already at that time or acquired </w:t>
      </w:r>
      <w:r w:rsidRPr="001F32D4" w:rsidR="00742587">
        <w:t>at a later date</w:t>
      </w:r>
      <w:r w:rsidRPr="001F32D4" w:rsidR="00FB166B">
        <w:t xml:space="preserve">. </w:t>
      </w:r>
      <w:r w:rsidRPr="001F32D4" w:rsidR="00742587">
        <w:t>In the absence of a credible explanation</w:t>
      </w:r>
      <w:r w:rsidRPr="001F32D4" w:rsidR="00BF0B93">
        <w:t xml:space="preserve">, the Court considers </w:t>
      </w:r>
      <w:r w:rsidRPr="001F32D4" w:rsidR="003B122D">
        <w:t xml:space="preserve">her </w:t>
      </w:r>
      <w:r w:rsidRPr="001F32D4" w:rsidR="0065355A">
        <w:t>submissions</w:t>
      </w:r>
      <w:r w:rsidRPr="001F32D4" w:rsidR="003B122D">
        <w:t xml:space="preserve"> as to the </w:t>
      </w:r>
      <w:r w:rsidRPr="001F32D4" w:rsidR="00746942">
        <w:t xml:space="preserve">time </w:t>
      </w:r>
      <w:r w:rsidRPr="001F32D4" w:rsidR="003B122D">
        <w:t xml:space="preserve">of </w:t>
      </w:r>
      <w:r w:rsidRPr="001F32D4" w:rsidR="00746942">
        <w:t xml:space="preserve">acquisition of her bonds </w:t>
      </w:r>
      <w:r w:rsidRPr="001F32D4" w:rsidR="0065355A">
        <w:t>unpersuasive</w:t>
      </w:r>
      <w:r w:rsidRPr="001F32D4" w:rsidR="00742587">
        <w:t xml:space="preserve"> </w:t>
      </w:r>
      <w:r w:rsidRPr="001F32D4" w:rsidR="00BF0B93">
        <w:t>and r</w:t>
      </w:r>
      <w:r w:rsidRPr="001F32D4" w:rsidR="003B122D">
        <w:t>ejects her claim.</w:t>
      </w:r>
    </w:p>
    <w:p w:rsidRPr="001F32D4" w:rsidR="00801E77" w:rsidP="001F32D4" w:rsidRDefault="0065355A">
      <w:pPr>
        <w:pStyle w:val="ECHRPara"/>
      </w:pPr>
      <w:r w:rsidRPr="001F32D4">
        <w:fldChar w:fldCharType="begin"/>
      </w:r>
      <w:r w:rsidRPr="001F32D4">
        <w:instrText xml:space="preserve"> SEQ level0 \*arabic </w:instrText>
      </w:r>
      <w:r w:rsidRPr="001F32D4">
        <w:fldChar w:fldCharType="separate"/>
      </w:r>
      <w:r w:rsidRPr="001F32D4" w:rsidR="001F32D4">
        <w:rPr>
          <w:noProof/>
        </w:rPr>
        <w:t>36</w:t>
      </w:r>
      <w:r w:rsidRPr="001F32D4">
        <w:fldChar w:fldCharType="end"/>
      </w:r>
      <w:r w:rsidRPr="001F32D4">
        <w:t>.  </w:t>
      </w:r>
      <w:r w:rsidRPr="001F32D4" w:rsidR="0029028B">
        <w:t xml:space="preserve">The Court also rejects the claims by Mr </w:t>
      </w:r>
      <w:proofErr w:type="spellStart"/>
      <w:r w:rsidRPr="001F32D4" w:rsidR="0029028B">
        <w:t>Galayev</w:t>
      </w:r>
      <w:proofErr w:type="spellEnd"/>
      <w:r w:rsidRPr="001F32D4" w:rsidR="0029028B">
        <w:t xml:space="preserve"> and Mr </w:t>
      </w:r>
      <w:proofErr w:type="spellStart"/>
      <w:r w:rsidRPr="001F32D4" w:rsidR="0029028B">
        <w:t>Gusev</w:t>
      </w:r>
      <w:proofErr w:type="spellEnd"/>
      <w:r w:rsidRPr="001F32D4" w:rsidR="005957FE">
        <w:t>,</w:t>
      </w:r>
      <w:r w:rsidRPr="001F32D4" w:rsidR="0029028B">
        <w:t xml:space="preserve"> whose </w:t>
      </w:r>
      <w:r w:rsidRPr="001F32D4" w:rsidR="004A70B3">
        <w:t xml:space="preserve">respective </w:t>
      </w:r>
      <w:r w:rsidRPr="001F32D4" w:rsidR="00E95A15">
        <w:t>declarations</w:t>
      </w:r>
      <w:r w:rsidRPr="001F32D4" w:rsidR="004A70B3">
        <w:t xml:space="preserve"> </w:t>
      </w:r>
      <w:r w:rsidRPr="001F32D4" w:rsidR="0029028B">
        <w:t xml:space="preserve">of having earned </w:t>
      </w:r>
      <w:r w:rsidRPr="001F32D4" w:rsidR="00746942">
        <w:t xml:space="preserve">SUR </w:t>
      </w:r>
      <w:r w:rsidRPr="001F32D4" w:rsidR="005957FE">
        <w:t>1</w:t>
      </w:r>
      <w:r w:rsidRPr="001F32D4" w:rsidR="00835EE7">
        <w:t>,000,000</w:t>
      </w:r>
      <w:r w:rsidRPr="001F32D4" w:rsidR="007911B9">
        <w:t xml:space="preserve"> </w:t>
      </w:r>
      <w:r w:rsidRPr="001F32D4" w:rsidR="0029028B">
        <w:t xml:space="preserve">in bonds from business activities and obtained </w:t>
      </w:r>
      <w:r w:rsidRPr="001F32D4" w:rsidR="005957FE">
        <w:t xml:space="preserve">SUR </w:t>
      </w:r>
      <w:r w:rsidRPr="001F32D4" w:rsidR="004A70B3">
        <w:t>500,000</w:t>
      </w:r>
      <w:r w:rsidRPr="001F32D4" w:rsidR="0029028B">
        <w:t xml:space="preserve"> through the division of parental property between him and his sister were not supported </w:t>
      </w:r>
      <w:r w:rsidRPr="001F32D4" w:rsidR="005957FE">
        <w:t xml:space="preserve">by </w:t>
      </w:r>
      <w:r w:rsidRPr="001F32D4" w:rsidR="0029028B">
        <w:t xml:space="preserve">any documents. </w:t>
      </w:r>
      <w:r w:rsidRPr="001F32D4">
        <w:t xml:space="preserve">It reiterates that an applicant should submit relevant documents to prove, as far as possible, not only the existence but also the amount or value of the damage (see </w:t>
      </w:r>
      <w:proofErr w:type="spellStart"/>
      <w:r w:rsidRPr="001F32D4">
        <w:rPr>
          <w:i/>
          <w:lang w:val="pt-PT"/>
        </w:rPr>
        <w:t>Milosavljev</w:t>
      </w:r>
      <w:proofErr w:type="spellEnd"/>
      <w:r w:rsidRPr="001F32D4">
        <w:rPr>
          <w:i/>
          <w:lang w:val="pt-PT"/>
        </w:rPr>
        <w:t xml:space="preserve"> v. </w:t>
      </w:r>
      <w:proofErr w:type="spellStart"/>
      <w:r w:rsidRPr="001F32D4">
        <w:rPr>
          <w:i/>
          <w:lang w:val="pt-PT"/>
        </w:rPr>
        <w:t>Serbia</w:t>
      </w:r>
      <w:proofErr w:type="spellEnd"/>
      <w:r w:rsidRPr="001F32D4">
        <w:rPr>
          <w:lang w:val="pt-PT"/>
        </w:rPr>
        <w:t xml:space="preserve">, no. 15112/07, § 67, 12 </w:t>
      </w:r>
      <w:proofErr w:type="spellStart"/>
      <w:r w:rsidRPr="001F32D4">
        <w:rPr>
          <w:lang w:val="pt-PT"/>
        </w:rPr>
        <w:t>June</w:t>
      </w:r>
      <w:proofErr w:type="spellEnd"/>
      <w:r w:rsidRPr="001F32D4">
        <w:rPr>
          <w:lang w:val="pt-PT"/>
        </w:rPr>
        <w:t xml:space="preserve"> 2012, </w:t>
      </w:r>
      <w:proofErr w:type="spellStart"/>
      <w:r w:rsidRPr="001F32D4">
        <w:rPr>
          <w:lang w:val="pt-PT"/>
        </w:rPr>
        <w:t>and</w:t>
      </w:r>
      <w:proofErr w:type="spellEnd"/>
      <w:r w:rsidRPr="001F32D4">
        <w:rPr>
          <w:lang w:val="pt-PT"/>
        </w:rPr>
        <w:t xml:space="preserve"> </w:t>
      </w:r>
      <w:proofErr w:type="spellStart"/>
      <w:r w:rsidRPr="001F32D4">
        <w:rPr>
          <w:i/>
        </w:rPr>
        <w:t>Vasilevski</w:t>
      </w:r>
      <w:proofErr w:type="spellEnd"/>
      <w:r w:rsidRPr="001F32D4">
        <w:rPr>
          <w:i/>
        </w:rPr>
        <w:t xml:space="preserve"> v. the former Yugoslav Republic of Macedonia</w:t>
      </w:r>
      <w:r w:rsidRPr="001F32D4">
        <w:t>, no.</w:t>
      </w:r>
      <w:r w:rsidRPr="001F32D4" w:rsidR="00E86567">
        <w:t> </w:t>
      </w:r>
      <w:r w:rsidRPr="001F32D4">
        <w:t>22653/08,</w:t>
      </w:r>
      <w:r w:rsidRPr="001F32D4">
        <w:rPr>
          <w:snapToGrid w:val="0"/>
        </w:rPr>
        <w:t xml:space="preserve"> § 66, 28 April 2016)</w:t>
      </w:r>
      <w:r w:rsidRPr="001F32D4">
        <w:t xml:space="preserve">. Admittedly, </w:t>
      </w:r>
      <w:r w:rsidRPr="001F32D4" w:rsidR="0029028B">
        <w:t xml:space="preserve">with the passage of time </w:t>
      </w:r>
      <w:r w:rsidRPr="001F32D4" w:rsidR="00E95A15">
        <w:t xml:space="preserve">some </w:t>
      </w:r>
      <w:r w:rsidRPr="001F32D4" w:rsidR="0029028B">
        <w:t xml:space="preserve">documents may </w:t>
      </w:r>
      <w:r w:rsidRPr="001F32D4">
        <w:t xml:space="preserve">have </w:t>
      </w:r>
      <w:r w:rsidRPr="001F32D4" w:rsidR="0029028B">
        <w:t>be</w:t>
      </w:r>
      <w:r w:rsidRPr="001F32D4">
        <w:t>en</w:t>
      </w:r>
      <w:r w:rsidRPr="001F32D4" w:rsidR="0029028B">
        <w:t xml:space="preserve"> lost or misplaced, but such unusual wealth should have </w:t>
      </w:r>
      <w:r w:rsidRPr="001F32D4" w:rsidR="005957FE">
        <w:t xml:space="preserve">left </w:t>
      </w:r>
      <w:r w:rsidRPr="001F32D4">
        <w:t xml:space="preserve">at least </w:t>
      </w:r>
      <w:r w:rsidRPr="001F32D4" w:rsidR="0029028B">
        <w:t xml:space="preserve">some </w:t>
      </w:r>
      <w:r w:rsidRPr="001F32D4" w:rsidR="00F8420E">
        <w:t xml:space="preserve">written traces </w:t>
      </w:r>
      <w:r w:rsidRPr="001F32D4" w:rsidR="0029028B">
        <w:t>which the applicants should have been able to produce</w:t>
      </w:r>
      <w:r w:rsidRPr="001F32D4" w:rsidR="005D1D95">
        <w:t xml:space="preserve"> to lend credibility to their claims</w:t>
      </w:r>
      <w:r w:rsidRPr="001F32D4" w:rsidR="0029028B">
        <w:t xml:space="preserve">. </w:t>
      </w:r>
      <w:r w:rsidRPr="001F32D4" w:rsidR="004A70B3">
        <w:t>Lastly</w:t>
      </w:r>
      <w:r w:rsidRPr="001F32D4" w:rsidR="00E95A15">
        <w:t>, the Court notes that Mr</w:t>
      </w:r>
      <w:r w:rsidRPr="001F32D4" w:rsidR="00FB166B">
        <w:t> </w:t>
      </w:r>
      <w:proofErr w:type="spellStart"/>
      <w:r w:rsidRPr="001F32D4" w:rsidR="00E95A15">
        <w:t>Karagezov</w:t>
      </w:r>
      <w:proofErr w:type="spellEnd"/>
      <w:r w:rsidRPr="001F32D4" w:rsidR="00E95A15">
        <w:t xml:space="preserve"> </w:t>
      </w:r>
      <w:r w:rsidRPr="001F32D4" w:rsidR="00742587">
        <w:t xml:space="preserve">produced </w:t>
      </w:r>
      <w:r w:rsidRPr="001F32D4" w:rsidR="00954ED0">
        <w:t xml:space="preserve">several lists of serial numbers of bonds. The lists ended with a figure representing the total value of bonds and a name next to it which was different from </w:t>
      </w:r>
      <w:r w:rsidRPr="001F32D4" w:rsidR="008A32D6">
        <w:t xml:space="preserve">his </w:t>
      </w:r>
      <w:r w:rsidRPr="001F32D4" w:rsidR="00954ED0">
        <w:t xml:space="preserve">name. </w:t>
      </w:r>
      <w:r w:rsidRPr="001F32D4" w:rsidR="008A32D6">
        <w:t xml:space="preserve">Since </w:t>
      </w:r>
      <w:r w:rsidRPr="001F32D4" w:rsidR="00954ED0">
        <w:t>Mr </w:t>
      </w:r>
      <w:proofErr w:type="spellStart"/>
      <w:r w:rsidRPr="001F32D4" w:rsidR="00954ED0">
        <w:t>Karagezov</w:t>
      </w:r>
      <w:proofErr w:type="spellEnd"/>
      <w:r w:rsidRPr="001F32D4" w:rsidR="00954ED0">
        <w:t xml:space="preserve"> did not clarify the matter of bonds</w:t>
      </w:r>
      <w:r w:rsidRPr="001F32D4" w:rsidR="001F32D4">
        <w:t>’</w:t>
      </w:r>
      <w:r w:rsidRPr="001F32D4" w:rsidR="00954ED0">
        <w:t xml:space="preserve"> ownership in his submissions, or</w:t>
      </w:r>
      <w:r w:rsidRPr="001F32D4" w:rsidR="008A32D6">
        <w:t>, for that matter,</w:t>
      </w:r>
      <w:r w:rsidRPr="001F32D4" w:rsidR="00954ED0">
        <w:t xml:space="preserve"> include </w:t>
      </w:r>
      <w:r w:rsidRPr="001F32D4" w:rsidR="00E95A15">
        <w:t>any pecuniary damage in his statement of claim und</w:t>
      </w:r>
      <w:r w:rsidRPr="001F32D4" w:rsidR="00954ED0">
        <w:t>er Article 41 of the Convention, the Court makes no award to him under this head.</w:t>
      </w:r>
    </w:p>
    <w:p w:rsidRPr="001F32D4" w:rsidR="00680D1E" w:rsidP="001F32D4" w:rsidRDefault="00510BD4">
      <w:pPr>
        <w:pStyle w:val="ECHRPara"/>
      </w:pPr>
      <w:r w:rsidRPr="001F32D4">
        <w:fldChar w:fldCharType="begin"/>
      </w:r>
      <w:r w:rsidRPr="001F32D4">
        <w:instrText xml:space="preserve"> SEQ level0 \*arabic </w:instrText>
      </w:r>
      <w:r w:rsidRPr="001F32D4">
        <w:fldChar w:fldCharType="separate"/>
      </w:r>
      <w:r w:rsidRPr="001F32D4" w:rsidR="001F32D4">
        <w:rPr>
          <w:noProof/>
        </w:rPr>
        <w:t>37</w:t>
      </w:r>
      <w:r w:rsidRPr="001F32D4">
        <w:fldChar w:fldCharType="end"/>
      </w:r>
      <w:r w:rsidRPr="001F32D4">
        <w:t>.  </w:t>
      </w:r>
      <w:r w:rsidRPr="001F32D4" w:rsidR="003B122D">
        <w:t xml:space="preserve">The Court further </w:t>
      </w:r>
      <w:r w:rsidRPr="001F32D4" w:rsidR="00E95A15">
        <w:t xml:space="preserve">considers </w:t>
      </w:r>
      <w:r w:rsidRPr="001F32D4" w:rsidR="003B122D">
        <w:t xml:space="preserve">that </w:t>
      </w:r>
      <w:r w:rsidRPr="001F32D4">
        <w:t>the amount of bond</w:t>
      </w:r>
      <w:r w:rsidRPr="001F32D4" w:rsidR="005957FE">
        <w:t>s held by</w:t>
      </w:r>
      <w:r w:rsidRPr="001F32D4">
        <w:t xml:space="preserve"> Ms</w:t>
      </w:r>
      <w:r w:rsidRPr="001F32D4" w:rsidR="003B122D">
        <w:t> </w:t>
      </w:r>
      <w:proofErr w:type="spellStart"/>
      <w:r w:rsidRPr="001F32D4">
        <w:t>Prokofyeva</w:t>
      </w:r>
      <w:proofErr w:type="spellEnd"/>
      <w:r w:rsidRPr="001F32D4">
        <w:t>, Mr</w:t>
      </w:r>
      <w:r w:rsidRPr="001F32D4" w:rsidR="005F112C">
        <w:t> </w:t>
      </w:r>
      <w:r w:rsidRPr="001F32D4">
        <w:t xml:space="preserve">Laptev and Mr </w:t>
      </w:r>
      <w:proofErr w:type="spellStart"/>
      <w:r w:rsidRPr="001F32D4">
        <w:t>Sevastyanov</w:t>
      </w:r>
      <w:proofErr w:type="spellEnd"/>
      <w:r w:rsidRPr="001F32D4">
        <w:t xml:space="preserve"> </w:t>
      </w:r>
      <w:r w:rsidRPr="001F32D4" w:rsidR="00DF5C4F">
        <w:t>is</w:t>
      </w:r>
      <w:r w:rsidRPr="001F32D4">
        <w:t xml:space="preserve"> consistent with the</w:t>
      </w:r>
      <w:r w:rsidRPr="001F32D4" w:rsidR="00E6035C">
        <w:t xml:space="preserve"> explanation of their origin they have provided. </w:t>
      </w:r>
      <w:r w:rsidRPr="001F32D4" w:rsidR="005068C6">
        <w:t>It</w:t>
      </w:r>
      <w:r w:rsidRPr="001F32D4" w:rsidR="00E6035C">
        <w:t xml:space="preserve"> reiterates that </w:t>
      </w:r>
      <w:r w:rsidRPr="001F32D4" w:rsidR="00E238D3">
        <w:t>the State</w:t>
      </w:r>
      <w:r w:rsidRPr="001F32D4" w:rsidR="001F32D4">
        <w:t>’</w:t>
      </w:r>
      <w:r w:rsidRPr="001F32D4" w:rsidR="00E6035C">
        <w:t xml:space="preserve">s </w:t>
      </w:r>
      <w:r w:rsidRPr="001F32D4" w:rsidR="00E238D3">
        <w:t>fail</w:t>
      </w:r>
      <w:r w:rsidRPr="001F32D4" w:rsidR="00E6035C">
        <w:t>ure</w:t>
      </w:r>
      <w:r w:rsidRPr="001F32D4" w:rsidR="00E238D3">
        <w:t xml:space="preserve"> to implement a redemption scheme cannot be interpreted as </w:t>
      </w:r>
      <w:r w:rsidRPr="001F32D4" w:rsidR="00D3249F">
        <w:t xml:space="preserve">calling for </w:t>
      </w:r>
      <w:r w:rsidRPr="001F32D4" w:rsidR="00E238D3">
        <w:t xml:space="preserve">any particular method of </w:t>
      </w:r>
      <w:r w:rsidRPr="001F32D4" w:rsidR="005F112C">
        <w:t>calculation</w:t>
      </w:r>
      <w:r w:rsidRPr="001F32D4" w:rsidR="00E238D3">
        <w:t xml:space="preserve"> or </w:t>
      </w:r>
      <w:r w:rsidRPr="001F32D4" w:rsidR="00D3249F">
        <w:t xml:space="preserve">a determination </w:t>
      </w:r>
      <w:r w:rsidRPr="001F32D4" w:rsidR="00E238D3">
        <w:rPr>
          <w:i/>
        </w:rPr>
        <w:t xml:space="preserve">in </w:t>
      </w:r>
      <w:proofErr w:type="spellStart"/>
      <w:r w:rsidRPr="001F32D4" w:rsidR="00E238D3">
        <w:rPr>
          <w:i/>
        </w:rPr>
        <w:t>abstracto</w:t>
      </w:r>
      <w:proofErr w:type="spellEnd"/>
      <w:r w:rsidRPr="001F32D4" w:rsidR="00E238D3">
        <w:t xml:space="preserve"> </w:t>
      </w:r>
      <w:r w:rsidRPr="001F32D4" w:rsidR="00D3249F">
        <w:t xml:space="preserve">of </w:t>
      </w:r>
      <w:r w:rsidRPr="001F32D4" w:rsidR="00E238D3">
        <w:t xml:space="preserve">the </w:t>
      </w:r>
      <w:r w:rsidRPr="001F32D4" w:rsidR="00D3249F">
        <w:t xml:space="preserve">current </w:t>
      </w:r>
      <w:r w:rsidRPr="001F32D4" w:rsidR="00E238D3">
        <w:t xml:space="preserve">value of the </w:t>
      </w:r>
      <w:r w:rsidRPr="001F32D4" w:rsidR="00E6035C">
        <w:t>bonds</w:t>
      </w:r>
      <w:r w:rsidRPr="001F32D4" w:rsidR="00E238D3">
        <w:t xml:space="preserve"> (see </w:t>
      </w:r>
      <w:proofErr w:type="spellStart"/>
      <w:r w:rsidRPr="001F32D4" w:rsidR="00E238D3">
        <w:rPr>
          <w:i/>
        </w:rPr>
        <w:t>Andreyeva</w:t>
      </w:r>
      <w:proofErr w:type="spellEnd"/>
      <w:r w:rsidRPr="001F32D4" w:rsidR="00E238D3">
        <w:t>, cited above, § 27).</w:t>
      </w:r>
      <w:r w:rsidRPr="001F32D4" w:rsidR="00E6035C">
        <w:t xml:space="preserve"> </w:t>
      </w:r>
      <w:r w:rsidRPr="001F32D4" w:rsidR="00E238D3">
        <w:t xml:space="preserve">Having regard to the </w:t>
      </w:r>
      <w:r w:rsidRPr="001F32D4" w:rsidR="00D3249F">
        <w:t>assessment of the applicants</w:t>
      </w:r>
      <w:r w:rsidRPr="001F32D4" w:rsidR="001F32D4">
        <w:t>’</w:t>
      </w:r>
      <w:r w:rsidRPr="001F32D4" w:rsidR="00D3249F">
        <w:t xml:space="preserve"> losses carried out </w:t>
      </w:r>
      <w:r w:rsidRPr="001F32D4" w:rsidR="00E238D3">
        <w:t xml:space="preserve">in </w:t>
      </w:r>
      <w:r w:rsidRPr="001F32D4" w:rsidR="00E6035C">
        <w:t xml:space="preserve">previous similar </w:t>
      </w:r>
      <w:r w:rsidRPr="001F32D4" w:rsidR="00E238D3">
        <w:t xml:space="preserve">cases (see </w:t>
      </w:r>
      <w:r w:rsidRPr="001F32D4" w:rsidR="00E6035C">
        <w:rPr>
          <w:i/>
        </w:rPr>
        <w:t xml:space="preserve">Yuriy </w:t>
      </w:r>
      <w:proofErr w:type="spellStart"/>
      <w:r w:rsidRPr="001F32D4" w:rsidR="00E6035C">
        <w:rPr>
          <w:i/>
        </w:rPr>
        <w:t>Lobanov</w:t>
      </w:r>
      <w:proofErr w:type="spellEnd"/>
      <w:r w:rsidRPr="001F32D4" w:rsidR="00E6035C">
        <w:rPr>
          <w:i/>
        </w:rPr>
        <w:t xml:space="preserve"> v. Russia </w:t>
      </w:r>
      <w:r w:rsidRPr="001F32D4" w:rsidR="00E6035C">
        <w:t>(just satisfaction), no. 15578/03, 14 February 2012</w:t>
      </w:r>
      <w:r w:rsidRPr="001F32D4" w:rsidR="00E238D3">
        <w:t xml:space="preserve">, and </w:t>
      </w:r>
      <w:proofErr w:type="spellStart"/>
      <w:r w:rsidRPr="001F32D4" w:rsidR="00E238D3">
        <w:rPr>
          <w:i/>
        </w:rPr>
        <w:t>Fomin</w:t>
      </w:r>
      <w:proofErr w:type="spellEnd"/>
      <w:r w:rsidRPr="001F32D4" w:rsidR="00E238D3">
        <w:rPr>
          <w:i/>
        </w:rPr>
        <w:t xml:space="preserve"> and Others</w:t>
      </w:r>
      <w:r w:rsidRPr="001F32D4" w:rsidR="00E238D3">
        <w:t>, cited above, § 35)</w:t>
      </w:r>
      <w:r w:rsidRPr="001F32D4" w:rsidR="00F20454">
        <w:t xml:space="preserve"> </w:t>
      </w:r>
      <w:r w:rsidRPr="001F32D4" w:rsidR="00E6035C">
        <w:t xml:space="preserve">and </w:t>
      </w:r>
      <w:r w:rsidRPr="001F32D4" w:rsidR="00D452EF">
        <w:t>limiting the award to what has been actually claimed (</w:t>
      </w:r>
      <w:r w:rsidRPr="001F32D4" w:rsidR="00E6035C">
        <w:t xml:space="preserve">the </w:t>
      </w:r>
      <w:r w:rsidRPr="001F32D4" w:rsidR="00F20454">
        <w:rPr>
          <w:i/>
        </w:rPr>
        <w:t>ne</w:t>
      </w:r>
      <w:r w:rsidRPr="001F32D4" w:rsidR="00D452EF">
        <w:rPr>
          <w:i/>
        </w:rPr>
        <w:t> </w:t>
      </w:r>
      <w:r w:rsidRPr="001F32D4" w:rsidR="00A02E24">
        <w:rPr>
          <w:i/>
        </w:rPr>
        <w:t xml:space="preserve">ultra </w:t>
      </w:r>
      <w:proofErr w:type="spellStart"/>
      <w:r w:rsidRPr="001F32D4" w:rsidR="00A02E24">
        <w:rPr>
          <w:i/>
        </w:rPr>
        <w:t>petita</w:t>
      </w:r>
      <w:proofErr w:type="spellEnd"/>
      <w:r w:rsidRPr="001F32D4" w:rsidR="00E6035C">
        <w:rPr>
          <w:i/>
        </w:rPr>
        <w:t xml:space="preserve"> </w:t>
      </w:r>
      <w:r w:rsidRPr="001F32D4" w:rsidR="00E6035C">
        <w:t>principle</w:t>
      </w:r>
      <w:r w:rsidRPr="001F32D4" w:rsidR="00D452EF">
        <w:t>)</w:t>
      </w:r>
      <w:r w:rsidRPr="001F32D4" w:rsidR="00F20454">
        <w:t xml:space="preserve">, </w:t>
      </w:r>
      <w:r w:rsidRPr="001F32D4" w:rsidR="00E238D3">
        <w:t xml:space="preserve">the Court awards </w:t>
      </w:r>
      <w:r w:rsidRPr="001F32D4" w:rsidR="00F20454">
        <w:t xml:space="preserve">EUR 2,490 to Ms </w:t>
      </w:r>
      <w:proofErr w:type="spellStart"/>
      <w:r w:rsidRPr="001F32D4" w:rsidR="00F20454">
        <w:t>Prokofyeva</w:t>
      </w:r>
      <w:proofErr w:type="spellEnd"/>
      <w:r w:rsidRPr="001F32D4" w:rsidR="00F20454">
        <w:t xml:space="preserve">, EUR 822 to Mr Laptev, and EUR 6,030 to Mr </w:t>
      </w:r>
      <w:proofErr w:type="spellStart"/>
      <w:r w:rsidRPr="001F32D4" w:rsidR="00F20454">
        <w:t>Sevastyanov</w:t>
      </w:r>
      <w:proofErr w:type="spellEnd"/>
      <w:r w:rsidRPr="001F32D4" w:rsidR="00F20454">
        <w:t>, plus any tax that may be chargeable</w:t>
      </w:r>
      <w:r w:rsidRPr="001F32D4" w:rsidR="00D452EF">
        <w:t xml:space="preserve">, </w:t>
      </w:r>
      <w:r w:rsidRPr="001F32D4" w:rsidR="00E238D3">
        <w:t>in respect of pecuniary damage.</w:t>
      </w:r>
    </w:p>
    <w:p w:rsidRPr="001F32D4" w:rsidR="001A5A2D" w:rsidP="001F32D4" w:rsidRDefault="001A5A2D">
      <w:pPr>
        <w:pStyle w:val="ECHRHeading3"/>
      </w:pPr>
      <w:r w:rsidRPr="001F32D4">
        <w:t>2.  Non-pecuniary damage</w:t>
      </w:r>
    </w:p>
    <w:p w:rsidRPr="001F32D4" w:rsidR="001143E3" w:rsidP="001F32D4" w:rsidRDefault="00FD03DD">
      <w:pPr>
        <w:pStyle w:val="ECHRPara"/>
        <w:rPr>
          <w:snapToGrid w:val="0"/>
        </w:rPr>
      </w:pPr>
      <w:r w:rsidRPr="001F32D4">
        <w:fldChar w:fldCharType="begin"/>
      </w:r>
      <w:r w:rsidRPr="001F32D4">
        <w:instrText xml:space="preserve"> SEQ level0 \*arabic </w:instrText>
      </w:r>
      <w:r w:rsidRPr="001F32D4">
        <w:fldChar w:fldCharType="separate"/>
      </w:r>
      <w:r w:rsidRPr="001F32D4" w:rsidR="001F32D4">
        <w:rPr>
          <w:noProof/>
        </w:rPr>
        <w:t>38</w:t>
      </w:r>
      <w:r w:rsidRPr="001F32D4">
        <w:fldChar w:fldCharType="end"/>
      </w:r>
      <w:r w:rsidRPr="001F32D4" w:rsidR="00014566">
        <w:t>.  </w:t>
      </w:r>
      <w:r w:rsidRPr="001F32D4" w:rsidR="00090E38">
        <w:t xml:space="preserve">The Court accepts that all the applicants have suffered frustration on account of the Russian </w:t>
      </w:r>
      <w:r w:rsidRPr="001F32D4" w:rsidR="001C1E78">
        <w:t>State</w:t>
      </w:r>
      <w:r w:rsidRPr="001F32D4" w:rsidR="001F32D4">
        <w:t>’</w:t>
      </w:r>
      <w:r w:rsidRPr="001F32D4" w:rsidR="001C1E78">
        <w:t xml:space="preserve">s failure to </w:t>
      </w:r>
      <w:r w:rsidRPr="001F32D4" w:rsidR="00090E38">
        <w:t xml:space="preserve">establish the </w:t>
      </w:r>
      <w:r w:rsidRPr="001F32D4" w:rsidR="007400F1">
        <w:rPr>
          <w:snapToGrid w:val="0"/>
        </w:rPr>
        <w:t>procedure for implementation of their entitlement which kept them in a state of uncertainty.</w:t>
      </w:r>
    </w:p>
    <w:p w:rsidRPr="001F32D4" w:rsidR="00014566" w:rsidP="001F32D4" w:rsidRDefault="008F29EC">
      <w:pPr>
        <w:pStyle w:val="ECHRPara"/>
        <w:rPr>
          <w:snapToGrid w:val="0"/>
        </w:rPr>
      </w:pPr>
      <w:r w:rsidRPr="001F32D4">
        <w:rPr>
          <w:snapToGrid w:val="0"/>
        </w:rPr>
        <w:fldChar w:fldCharType="begin"/>
      </w:r>
      <w:r w:rsidRPr="001F32D4">
        <w:rPr>
          <w:snapToGrid w:val="0"/>
        </w:rPr>
        <w:instrText xml:space="preserve"> SEQ level0 \*arabic </w:instrText>
      </w:r>
      <w:r w:rsidRPr="001F32D4">
        <w:rPr>
          <w:snapToGrid w:val="0"/>
        </w:rPr>
        <w:fldChar w:fldCharType="separate"/>
      </w:r>
      <w:r w:rsidRPr="001F32D4" w:rsidR="001F32D4">
        <w:rPr>
          <w:noProof/>
          <w:snapToGrid w:val="0"/>
        </w:rPr>
        <w:t>39</w:t>
      </w:r>
      <w:r w:rsidRPr="001F32D4">
        <w:rPr>
          <w:snapToGrid w:val="0"/>
        </w:rPr>
        <w:fldChar w:fldCharType="end"/>
      </w:r>
      <w:r w:rsidRPr="001F32D4">
        <w:rPr>
          <w:snapToGrid w:val="0"/>
        </w:rPr>
        <w:t>.  </w:t>
      </w:r>
      <w:proofErr w:type="gramStart"/>
      <w:r w:rsidRPr="001F32D4" w:rsidR="00A02E24">
        <w:rPr>
          <w:snapToGrid w:val="0"/>
        </w:rPr>
        <w:t>Making its assessment on an equitable basis and h</w:t>
      </w:r>
      <w:r w:rsidRPr="001F32D4">
        <w:rPr>
          <w:snapToGrid w:val="0"/>
        </w:rPr>
        <w:t xml:space="preserve">aving regard to </w:t>
      </w:r>
      <w:r w:rsidRPr="001F32D4" w:rsidR="00A02E24">
        <w:rPr>
          <w:snapToGrid w:val="0"/>
        </w:rPr>
        <w:t xml:space="preserve">the awards in previous similar cases (see </w:t>
      </w:r>
      <w:r w:rsidRPr="001F32D4" w:rsidR="00A02E24">
        <w:rPr>
          <w:i/>
        </w:rPr>
        <w:t xml:space="preserve">Yuriy </w:t>
      </w:r>
      <w:proofErr w:type="spellStart"/>
      <w:r w:rsidRPr="001F32D4" w:rsidR="00A02E24">
        <w:rPr>
          <w:i/>
        </w:rPr>
        <w:t>Lobanov</w:t>
      </w:r>
      <w:proofErr w:type="spellEnd"/>
      <w:r w:rsidRPr="001F32D4" w:rsidR="00A02E24">
        <w:t xml:space="preserve"> and </w:t>
      </w:r>
      <w:proofErr w:type="spellStart"/>
      <w:r w:rsidRPr="001F32D4" w:rsidR="00A02E24">
        <w:rPr>
          <w:i/>
        </w:rPr>
        <w:t>Fomin</w:t>
      </w:r>
      <w:proofErr w:type="spellEnd"/>
      <w:r w:rsidRPr="001F32D4" w:rsidR="00A02E24">
        <w:rPr>
          <w:i/>
        </w:rPr>
        <w:t xml:space="preserve"> and Others</w:t>
      </w:r>
      <w:r w:rsidRPr="001F32D4" w:rsidR="00A02E24">
        <w:t>, both cited above),</w:t>
      </w:r>
      <w:r w:rsidRPr="001F32D4">
        <w:rPr>
          <w:snapToGrid w:val="0"/>
        </w:rPr>
        <w:t xml:space="preserve"> the Court awards EUR </w:t>
      </w:r>
      <w:r w:rsidRPr="001F32D4" w:rsidR="00A02E24">
        <w:rPr>
          <w:snapToGrid w:val="0"/>
        </w:rPr>
        <w:t>1,8</w:t>
      </w:r>
      <w:r w:rsidRPr="001F32D4">
        <w:rPr>
          <w:snapToGrid w:val="0"/>
        </w:rPr>
        <w:t xml:space="preserve">00 </w:t>
      </w:r>
      <w:r w:rsidRPr="001F32D4" w:rsidR="00A02E24">
        <w:rPr>
          <w:snapToGrid w:val="0"/>
        </w:rPr>
        <w:t xml:space="preserve">each </w:t>
      </w:r>
      <w:r w:rsidRPr="001F32D4">
        <w:rPr>
          <w:snapToGrid w:val="0"/>
        </w:rPr>
        <w:t>to Mr Laptev</w:t>
      </w:r>
      <w:r w:rsidRPr="001F32D4" w:rsidR="00A02E24">
        <w:rPr>
          <w:snapToGrid w:val="0"/>
        </w:rPr>
        <w:t xml:space="preserve">, </w:t>
      </w:r>
      <w:r w:rsidRPr="001F32D4">
        <w:rPr>
          <w:snapToGrid w:val="0"/>
        </w:rPr>
        <w:t>Ms</w:t>
      </w:r>
      <w:r w:rsidRPr="001F32D4" w:rsidR="00A02E24">
        <w:rPr>
          <w:snapToGrid w:val="0"/>
        </w:rPr>
        <w:t> </w:t>
      </w:r>
      <w:proofErr w:type="spellStart"/>
      <w:r w:rsidRPr="001F32D4">
        <w:rPr>
          <w:snapToGrid w:val="0"/>
        </w:rPr>
        <w:t>Prokofyeva</w:t>
      </w:r>
      <w:proofErr w:type="spellEnd"/>
      <w:r w:rsidRPr="001F32D4">
        <w:rPr>
          <w:snapToGrid w:val="0"/>
        </w:rPr>
        <w:t xml:space="preserve"> and Mr </w:t>
      </w:r>
      <w:proofErr w:type="spellStart"/>
      <w:r w:rsidRPr="001F32D4">
        <w:rPr>
          <w:snapToGrid w:val="0"/>
        </w:rPr>
        <w:t>Sevastyanov</w:t>
      </w:r>
      <w:proofErr w:type="spellEnd"/>
      <w:r w:rsidRPr="001F32D4">
        <w:rPr>
          <w:snapToGrid w:val="0"/>
        </w:rPr>
        <w:t xml:space="preserve"> in respect of non-pecuniary damage, plus any tax that may be chargeable.</w:t>
      </w:r>
      <w:proofErr w:type="gramEnd"/>
    </w:p>
    <w:p w:rsidRPr="001F32D4" w:rsidR="008F29EC" w:rsidP="001F32D4" w:rsidRDefault="008F29EC">
      <w:pPr>
        <w:pStyle w:val="ECHRPara"/>
      </w:pPr>
      <w:r w:rsidRPr="001F32D4">
        <w:rPr>
          <w:snapToGrid w:val="0"/>
        </w:rPr>
        <w:fldChar w:fldCharType="begin"/>
      </w:r>
      <w:r w:rsidRPr="001F32D4">
        <w:rPr>
          <w:snapToGrid w:val="0"/>
        </w:rPr>
        <w:instrText xml:space="preserve"> SEQ level0 \*arabic </w:instrText>
      </w:r>
      <w:r w:rsidRPr="001F32D4">
        <w:rPr>
          <w:snapToGrid w:val="0"/>
        </w:rPr>
        <w:fldChar w:fldCharType="separate"/>
      </w:r>
      <w:r w:rsidRPr="001F32D4" w:rsidR="001F32D4">
        <w:rPr>
          <w:noProof/>
          <w:snapToGrid w:val="0"/>
        </w:rPr>
        <w:t>40</w:t>
      </w:r>
      <w:r w:rsidRPr="001F32D4">
        <w:rPr>
          <w:snapToGrid w:val="0"/>
        </w:rPr>
        <w:fldChar w:fldCharType="end"/>
      </w:r>
      <w:r w:rsidRPr="001F32D4">
        <w:rPr>
          <w:snapToGrid w:val="0"/>
        </w:rPr>
        <w:t xml:space="preserve">.  As regards the other applicants </w:t>
      </w:r>
      <w:r w:rsidRPr="001F32D4" w:rsidR="00F162D7">
        <w:rPr>
          <w:snapToGrid w:val="0"/>
        </w:rPr>
        <w:t xml:space="preserve">in respect of whom </w:t>
      </w:r>
      <w:r w:rsidRPr="001F32D4">
        <w:rPr>
          <w:snapToGrid w:val="0"/>
        </w:rPr>
        <w:t xml:space="preserve">the time of acquisition of bonds and the </w:t>
      </w:r>
      <w:r w:rsidRPr="001F32D4" w:rsidR="00A02E24">
        <w:rPr>
          <w:snapToGrid w:val="0"/>
        </w:rPr>
        <w:t>length</w:t>
      </w:r>
      <w:r w:rsidRPr="001F32D4" w:rsidR="00F162D7">
        <w:rPr>
          <w:snapToGrid w:val="0"/>
        </w:rPr>
        <w:t xml:space="preserve"> </w:t>
      </w:r>
      <w:r w:rsidRPr="001F32D4">
        <w:rPr>
          <w:snapToGrid w:val="0"/>
        </w:rPr>
        <w:t xml:space="preserve">of </w:t>
      </w:r>
      <w:r w:rsidRPr="001F32D4" w:rsidR="00F162D7">
        <w:rPr>
          <w:snapToGrid w:val="0"/>
        </w:rPr>
        <w:t xml:space="preserve">period of </w:t>
      </w:r>
      <w:r w:rsidRPr="001F32D4">
        <w:rPr>
          <w:snapToGrid w:val="0"/>
        </w:rPr>
        <w:t>their possession</w:t>
      </w:r>
      <w:r w:rsidRPr="001F32D4" w:rsidR="00F162D7">
        <w:rPr>
          <w:snapToGrid w:val="0"/>
        </w:rPr>
        <w:t xml:space="preserve"> could not be ascertained</w:t>
      </w:r>
      <w:r w:rsidRPr="001F32D4">
        <w:rPr>
          <w:snapToGrid w:val="0"/>
        </w:rPr>
        <w:t>, the Court considers that the finding of a violation would constitute sufficient just satisfaction.</w:t>
      </w:r>
    </w:p>
    <w:p w:rsidRPr="001F32D4" w:rsidR="00014566" w:rsidP="001F32D4" w:rsidRDefault="00014566">
      <w:pPr>
        <w:pStyle w:val="ECHRHeading2"/>
      </w:pPr>
      <w:r w:rsidRPr="001F32D4">
        <w:t>B.  Costs and expenses</w:t>
      </w:r>
    </w:p>
    <w:p w:rsidRPr="001F32D4" w:rsidR="00014566" w:rsidP="001F32D4" w:rsidRDefault="00FD03DD">
      <w:pPr>
        <w:pStyle w:val="ECHRPara"/>
      </w:pPr>
      <w:r w:rsidRPr="001F32D4">
        <w:fldChar w:fldCharType="begin"/>
      </w:r>
      <w:r w:rsidRPr="001F32D4">
        <w:instrText xml:space="preserve"> SEQ level0 \*arabic </w:instrText>
      </w:r>
      <w:r w:rsidRPr="001F32D4">
        <w:fldChar w:fldCharType="separate"/>
      </w:r>
      <w:r w:rsidRPr="001F32D4" w:rsidR="001F32D4">
        <w:rPr>
          <w:noProof/>
        </w:rPr>
        <w:t>41</w:t>
      </w:r>
      <w:r w:rsidRPr="001F32D4">
        <w:fldChar w:fldCharType="end"/>
      </w:r>
      <w:r w:rsidRPr="001F32D4" w:rsidR="00014566">
        <w:t>.  The applicant</w:t>
      </w:r>
      <w:r w:rsidRPr="001F32D4">
        <w:t>s</w:t>
      </w:r>
      <w:r w:rsidRPr="001F32D4" w:rsidR="00014566">
        <w:t xml:space="preserve"> also claimed </w:t>
      </w:r>
      <w:r w:rsidRPr="001F32D4" w:rsidR="00D871DB">
        <w:t xml:space="preserve">the amounts specified in the Appendix in respect of </w:t>
      </w:r>
      <w:r w:rsidRPr="001F32D4" w:rsidR="00014566">
        <w:t>the costs and expenses incurred before the domestic courts and the Court.</w:t>
      </w:r>
    </w:p>
    <w:p w:rsidRPr="001F32D4" w:rsidR="00014566" w:rsidP="001F32D4" w:rsidRDefault="00FD03DD">
      <w:pPr>
        <w:pStyle w:val="ECHRPara"/>
      </w:pPr>
      <w:r w:rsidRPr="001F32D4">
        <w:fldChar w:fldCharType="begin"/>
      </w:r>
      <w:r w:rsidRPr="001F32D4">
        <w:instrText xml:space="preserve"> SEQ level0 \*arabic </w:instrText>
      </w:r>
      <w:r w:rsidRPr="001F32D4">
        <w:fldChar w:fldCharType="separate"/>
      </w:r>
      <w:r w:rsidRPr="001F32D4" w:rsidR="001F32D4">
        <w:rPr>
          <w:noProof/>
        </w:rPr>
        <w:t>42</w:t>
      </w:r>
      <w:r w:rsidRPr="001F32D4">
        <w:fldChar w:fldCharType="end"/>
      </w:r>
      <w:r w:rsidRPr="001F32D4" w:rsidR="00014566">
        <w:t xml:space="preserve">.  The Government </w:t>
      </w:r>
      <w:r w:rsidRPr="001F32D4" w:rsidR="00680D1E">
        <w:t xml:space="preserve">pointed out that Ms </w:t>
      </w:r>
      <w:proofErr w:type="spellStart"/>
      <w:r w:rsidRPr="001F32D4" w:rsidR="00680D1E">
        <w:t>Alekseyeva</w:t>
      </w:r>
      <w:proofErr w:type="spellEnd"/>
      <w:r w:rsidRPr="001F32D4" w:rsidR="00680D1E">
        <w:t xml:space="preserve">, Mr </w:t>
      </w:r>
      <w:proofErr w:type="spellStart"/>
      <w:r w:rsidRPr="001F32D4" w:rsidR="00680D1E">
        <w:t>Gusev</w:t>
      </w:r>
      <w:proofErr w:type="spellEnd"/>
      <w:r w:rsidRPr="001F32D4" w:rsidR="00680D1E">
        <w:t>, Mr </w:t>
      </w:r>
      <w:proofErr w:type="spellStart"/>
      <w:r w:rsidRPr="001F32D4" w:rsidR="00680D1E">
        <w:t>Ruzanov</w:t>
      </w:r>
      <w:proofErr w:type="spellEnd"/>
      <w:r w:rsidRPr="001F32D4" w:rsidR="00680D1E">
        <w:t xml:space="preserve"> and Mr </w:t>
      </w:r>
      <w:proofErr w:type="spellStart"/>
      <w:r w:rsidRPr="001F32D4" w:rsidR="00680D1E">
        <w:t>Sevastyanov</w:t>
      </w:r>
      <w:proofErr w:type="spellEnd"/>
      <w:r w:rsidRPr="001F32D4" w:rsidR="00680D1E">
        <w:t xml:space="preserve"> had not produced any documents supporting their claims.</w:t>
      </w:r>
    </w:p>
    <w:p w:rsidRPr="001F32D4" w:rsidR="00014566" w:rsidP="001F32D4" w:rsidRDefault="00D452EF">
      <w:pPr>
        <w:pStyle w:val="ECHRPara"/>
      </w:pPr>
      <w:r w:rsidRPr="001F32D4">
        <w:fldChar w:fldCharType="begin"/>
      </w:r>
      <w:r w:rsidRPr="001F32D4">
        <w:instrText xml:space="preserve"> SEQ level0 \*arabic </w:instrText>
      </w:r>
      <w:r w:rsidRPr="001F32D4">
        <w:fldChar w:fldCharType="separate"/>
      </w:r>
      <w:r w:rsidRPr="001F32D4" w:rsidR="001F32D4">
        <w:rPr>
          <w:noProof/>
        </w:rPr>
        <w:t>43</w:t>
      </w:r>
      <w:r w:rsidRPr="001F32D4">
        <w:fldChar w:fldCharType="end"/>
      </w:r>
      <w:r w:rsidRPr="001F32D4">
        <w:t>.  </w:t>
      </w:r>
      <w:r w:rsidRPr="001F32D4" w:rsidR="00FD03DD">
        <w:t>According to the Court</w:t>
      </w:r>
      <w:r w:rsidRPr="001F32D4" w:rsidR="001F32D4">
        <w:t>’</w:t>
      </w:r>
      <w:r w:rsidRPr="001F32D4" w:rsidR="00FD03DD">
        <w:t>s case-law, an applicant is entitled to the reimbursement of costs and expenses only in so far as it has been shown that these have been actually and necessarily incurred and are reasonable as to quantum. In the present case, regard</w:t>
      </w:r>
      <w:r w:rsidRPr="001F32D4" w:rsidR="00014566">
        <w:t xml:space="preserve"> being had to the documents in its possession and </w:t>
      </w:r>
      <w:r w:rsidRPr="001F32D4" w:rsidR="00FD03DD">
        <w:t>the above criteria</w:t>
      </w:r>
      <w:r w:rsidRPr="001F32D4" w:rsidR="00014566">
        <w:t>, the Court award</w:t>
      </w:r>
      <w:r w:rsidRPr="001F32D4" w:rsidR="00D871DB">
        <w:t>s EUR 100 to Ms</w:t>
      </w:r>
      <w:r w:rsidRPr="001F32D4" w:rsidR="008C05AA">
        <w:t> </w:t>
      </w:r>
      <w:proofErr w:type="spellStart"/>
      <w:r w:rsidRPr="001F32D4" w:rsidR="00D871DB">
        <w:t>Alekseyeva</w:t>
      </w:r>
      <w:proofErr w:type="spellEnd"/>
      <w:r w:rsidRPr="001F32D4" w:rsidR="00D871DB">
        <w:t xml:space="preserve">, </w:t>
      </w:r>
      <w:r w:rsidRPr="001F32D4" w:rsidR="00A62B73">
        <w:t xml:space="preserve">EUR 1,500 to Mr </w:t>
      </w:r>
      <w:proofErr w:type="spellStart"/>
      <w:r w:rsidRPr="001F32D4" w:rsidR="00A62B73">
        <w:t>Gusev</w:t>
      </w:r>
      <w:proofErr w:type="spellEnd"/>
      <w:r w:rsidRPr="001F32D4" w:rsidR="00A62B73">
        <w:t xml:space="preserve">, EUR 850 to Mr </w:t>
      </w:r>
      <w:proofErr w:type="spellStart"/>
      <w:r w:rsidRPr="001F32D4" w:rsidR="00A62B73">
        <w:t>Ruzanov</w:t>
      </w:r>
      <w:proofErr w:type="spellEnd"/>
      <w:r w:rsidRPr="001F32D4" w:rsidR="00A62B73">
        <w:t>, EUR</w:t>
      </w:r>
      <w:r w:rsidRPr="001F32D4" w:rsidR="008C05AA">
        <w:t> </w:t>
      </w:r>
      <w:r w:rsidRPr="001F32D4" w:rsidR="00A62B73">
        <w:t xml:space="preserve">30 to Mr Laptev, EUR 450 to Mr </w:t>
      </w:r>
      <w:proofErr w:type="spellStart"/>
      <w:r w:rsidRPr="001F32D4" w:rsidR="00A62B73">
        <w:t>Sevastyanov</w:t>
      </w:r>
      <w:proofErr w:type="spellEnd"/>
      <w:r w:rsidRPr="001F32D4" w:rsidR="00A62B73">
        <w:t>, and EUR 46 to Mr</w:t>
      </w:r>
      <w:r w:rsidRPr="001F32D4" w:rsidR="008C05AA">
        <w:t> </w:t>
      </w:r>
      <w:proofErr w:type="spellStart"/>
      <w:r w:rsidRPr="001F32D4" w:rsidR="00A62B73">
        <w:t>Karagezov</w:t>
      </w:r>
      <w:proofErr w:type="spellEnd"/>
      <w:r w:rsidRPr="001F32D4" w:rsidR="00A62B73">
        <w:t xml:space="preserve">, plus any tax that may be chargeable on them, </w:t>
      </w:r>
      <w:r w:rsidRPr="001F32D4" w:rsidR="00014566">
        <w:t>covering costs under all heads.</w:t>
      </w:r>
    </w:p>
    <w:p w:rsidRPr="001F32D4" w:rsidR="00583D36" w:rsidP="001F32D4" w:rsidRDefault="00583D36">
      <w:pPr>
        <w:pStyle w:val="ECHRHeading2"/>
      </w:pPr>
      <w:r w:rsidRPr="001F32D4">
        <w:t>C.  Default interest</w:t>
      </w:r>
    </w:p>
    <w:p w:rsidRPr="001F32D4" w:rsidR="00583D36" w:rsidP="001F32D4" w:rsidRDefault="00583D36">
      <w:pPr>
        <w:pStyle w:val="ECHRPara"/>
      </w:pPr>
      <w:r w:rsidRPr="001F32D4">
        <w:fldChar w:fldCharType="begin"/>
      </w:r>
      <w:r w:rsidRPr="001F32D4">
        <w:instrText xml:space="preserve"> SEQ level0 \*arabic </w:instrText>
      </w:r>
      <w:r w:rsidRPr="001F32D4">
        <w:fldChar w:fldCharType="separate"/>
      </w:r>
      <w:r w:rsidRPr="001F32D4" w:rsidR="001F32D4">
        <w:rPr>
          <w:noProof/>
        </w:rPr>
        <w:t>44</w:t>
      </w:r>
      <w:r w:rsidRPr="001F32D4">
        <w:fldChar w:fldCharType="end"/>
      </w:r>
      <w:r w:rsidRPr="001F32D4">
        <w:t>.  The Court considers it appropriate that the default interest rate should be based on the marginal lending rate of the European Central Bank, to which should be added three percentage points.</w:t>
      </w:r>
    </w:p>
    <w:p w:rsidRPr="001F32D4" w:rsidR="00371017" w:rsidP="001F32D4" w:rsidRDefault="00371017">
      <w:pPr>
        <w:pStyle w:val="ECHRHeading1"/>
      </w:pPr>
      <w:r w:rsidRPr="001F32D4">
        <w:t>IV.</w:t>
      </w:r>
      <w:proofErr w:type="gramStart"/>
      <w:r w:rsidRPr="001F32D4">
        <w:t>  APPLICATION</w:t>
      </w:r>
      <w:proofErr w:type="gramEnd"/>
      <w:r w:rsidRPr="001F32D4">
        <w:t xml:space="preserve"> OF ARTICLE 46 OF THE CONVENTION</w:t>
      </w:r>
    </w:p>
    <w:p w:rsidRPr="001F32D4" w:rsidR="00371017" w:rsidP="001F32D4" w:rsidRDefault="00371017">
      <w:pPr>
        <w:pStyle w:val="ECHRPara"/>
      </w:pPr>
      <w:r w:rsidRPr="001F32D4">
        <w:rPr>
          <w:noProof/>
        </w:rPr>
        <w:fldChar w:fldCharType="begin"/>
      </w:r>
      <w:r w:rsidRPr="001F32D4">
        <w:rPr>
          <w:noProof/>
        </w:rPr>
        <w:instrText xml:space="preserve"> SEQ level0 \*arabic </w:instrText>
      </w:r>
      <w:r w:rsidRPr="001F32D4">
        <w:rPr>
          <w:noProof/>
        </w:rPr>
        <w:fldChar w:fldCharType="separate"/>
      </w:r>
      <w:r w:rsidRPr="001F32D4" w:rsidR="001F32D4">
        <w:rPr>
          <w:noProof/>
        </w:rPr>
        <w:t>45</w:t>
      </w:r>
      <w:r w:rsidRPr="001F32D4">
        <w:rPr>
          <w:noProof/>
        </w:rPr>
        <w:fldChar w:fldCharType="end"/>
      </w:r>
      <w:r w:rsidRPr="001F32D4">
        <w:t>.   Article 46 of the Convention provides:</w:t>
      </w:r>
    </w:p>
    <w:p w:rsidRPr="001F32D4" w:rsidR="00371017" w:rsidP="001F32D4" w:rsidRDefault="00371017">
      <w:pPr>
        <w:pStyle w:val="ECHRParaQuote"/>
      </w:pPr>
      <w:r w:rsidRPr="001F32D4">
        <w:t>“1.</w:t>
      </w:r>
      <w:proofErr w:type="gramStart"/>
      <w:r w:rsidRPr="001F32D4">
        <w:t>  The</w:t>
      </w:r>
      <w:proofErr w:type="gramEnd"/>
      <w:r w:rsidRPr="001F32D4">
        <w:t xml:space="preserve"> High Contracting Parties undertake to abide by the final judgment of the Court in any case to which they are parties.</w:t>
      </w:r>
    </w:p>
    <w:p w:rsidRPr="001F32D4" w:rsidR="00371017" w:rsidP="001F32D4" w:rsidRDefault="00371017">
      <w:pPr>
        <w:pStyle w:val="ECHRParaQuote"/>
      </w:pPr>
      <w:r w:rsidRPr="001F32D4">
        <w:t>2.</w:t>
      </w:r>
      <w:proofErr w:type="gramStart"/>
      <w:r w:rsidRPr="001F32D4">
        <w:t>  The</w:t>
      </w:r>
      <w:proofErr w:type="gramEnd"/>
      <w:r w:rsidRPr="001F32D4">
        <w:t xml:space="preserve"> final judgment of the Court shall be transmitted to the Committee of Ministers, which shall supervise its execution.”</w:t>
      </w:r>
    </w:p>
    <w:p w:rsidRPr="001F32D4" w:rsidR="00367ED6" w:rsidP="001F32D4" w:rsidRDefault="00AC6611">
      <w:pPr>
        <w:pStyle w:val="ECHRPara"/>
      </w:pPr>
      <w:r w:rsidRPr="001F32D4">
        <w:fldChar w:fldCharType="begin"/>
      </w:r>
      <w:r w:rsidRPr="001F32D4">
        <w:instrText xml:space="preserve"> SEQ level0 \*arabic </w:instrText>
      </w:r>
      <w:r w:rsidRPr="001F32D4">
        <w:fldChar w:fldCharType="separate"/>
      </w:r>
      <w:r w:rsidRPr="001F32D4" w:rsidR="001F32D4">
        <w:rPr>
          <w:noProof/>
        </w:rPr>
        <w:t>46</w:t>
      </w:r>
      <w:r w:rsidRPr="001F32D4">
        <w:fldChar w:fldCharType="end"/>
      </w:r>
      <w:r w:rsidRPr="001F32D4">
        <w:t>.  </w:t>
      </w:r>
      <w:r w:rsidRPr="001F32D4" w:rsidR="00F8420E">
        <w:t>A</w:t>
      </w:r>
      <w:r w:rsidRPr="001F32D4">
        <w:t xml:space="preserve"> judgment in which </w:t>
      </w:r>
      <w:r w:rsidRPr="001F32D4" w:rsidR="00F8420E">
        <w:t>the Court</w:t>
      </w:r>
      <w:r w:rsidRPr="001F32D4">
        <w:t xml:space="preserve"> finds a breach of the Convention imposes on the respondent State a legal obligation not just to pay those concerned the sums awarded by way of just satisfaction, but also to choose, subject to supervision by the Committee of Ministers, general measures to be adopted in its domestic legal order to put an end to the violation found by the Court and to redress as far as possible its effects. It is primarily for the State concerned to choose, subject to supervision by the Committee of Ministers, the means to be used in its domestic legal order to discharge its obligation under Article 46 of the Convention. However, with a view to helping the respondent State to fulfil that obligation, the Court may seek to indicate the type of general measures that might be taken in order to put an end to the situation it has found to exist (see </w:t>
      </w:r>
      <w:r w:rsidRPr="001F32D4">
        <w:rPr>
          <w:i/>
        </w:rPr>
        <w:t xml:space="preserve">Centre for Legal Resources on behalf of Valentin </w:t>
      </w:r>
      <w:proofErr w:type="spellStart"/>
      <w:r w:rsidRPr="001F32D4">
        <w:rPr>
          <w:i/>
        </w:rPr>
        <w:t>Câmpeanu</w:t>
      </w:r>
      <w:proofErr w:type="spellEnd"/>
      <w:r w:rsidRPr="001F32D4">
        <w:rPr>
          <w:i/>
        </w:rPr>
        <w:t xml:space="preserve"> v. Romania</w:t>
      </w:r>
      <w:r w:rsidRPr="001F32D4" w:rsidR="00606410">
        <w:t xml:space="preserve"> [GC], no.</w:t>
      </w:r>
      <w:r w:rsidRPr="001F32D4" w:rsidR="00633141">
        <w:t> </w:t>
      </w:r>
      <w:r w:rsidRPr="001F32D4">
        <w:t xml:space="preserve">47848/08, §§ 158-59, ECHR 2014; </w:t>
      </w:r>
      <w:proofErr w:type="spellStart"/>
      <w:r w:rsidRPr="001F32D4">
        <w:rPr>
          <w:i/>
        </w:rPr>
        <w:t>Scoppola</w:t>
      </w:r>
      <w:proofErr w:type="spellEnd"/>
      <w:r w:rsidRPr="001F32D4">
        <w:rPr>
          <w:i/>
        </w:rPr>
        <w:t xml:space="preserve"> v. Italy (no. 2)</w:t>
      </w:r>
      <w:r w:rsidRPr="001F32D4" w:rsidR="00633141">
        <w:t xml:space="preserve"> [GC], no. </w:t>
      </w:r>
      <w:r w:rsidRPr="001F32D4">
        <w:t>10249/03, § 148, 17</w:t>
      </w:r>
      <w:r w:rsidRPr="001F32D4" w:rsidR="00B85E4A">
        <w:t> </w:t>
      </w:r>
      <w:r w:rsidRPr="001F32D4">
        <w:t xml:space="preserve">September 2009; and </w:t>
      </w:r>
      <w:proofErr w:type="spellStart"/>
      <w:r w:rsidRPr="001F32D4">
        <w:rPr>
          <w:i/>
        </w:rPr>
        <w:t>Broniowski</w:t>
      </w:r>
      <w:proofErr w:type="spellEnd"/>
      <w:r w:rsidRPr="001F32D4">
        <w:rPr>
          <w:i/>
        </w:rPr>
        <w:t xml:space="preserve"> v. Poland</w:t>
      </w:r>
      <w:r w:rsidRPr="001F32D4">
        <w:t xml:space="preserve"> [GC], no. 31443/96, § 194, ECHR 2004-V).</w:t>
      </w:r>
    </w:p>
    <w:p w:rsidRPr="001F32D4" w:rsidR="00077341" w:rsidP="001F32D4" w:rsidRDefault="00C57E5C">
      <w:pPr>
        <w:pStyle w:val="ECHRPara"/>
      </w:pPr>
      <w:r w:rsidRPr="001F32D4">
        <w:fldChar w:fldCharType="begin"/>
      </w:r>
      <w:r w:rsidRPr="001F32D4">
        <w:instrText xml:space="preserve"> SEQ level0 \*arabic </w:instrText>
      </w:r>
      <w:r w:rsidRPr="001F32D4">
        <w:fldChar w:fldCharType="separate"/>
      </w:r>
      <w:r w:rsidRPr="001F32D4" w:rsidR="001F32D4">
        <w:rPr>
          <w:noProof/>
        </w:rPr>
        <w:t>47</w:t>
      </w:r>
      <w:r w:rsidRPr="001F32D4">
        <w:fldChar w:fldCharType="end"/>
      </w:r>
      <w:r w:rsidRPr="001F32D4">
        <w:t>.  </w:t>
      </w:r>
      <w:r w:rsidRPr="001F32D4" w:rsidR="00D7292D">
        <w:t>The Court has found in the present case that the Russian authorities</w:t>
      </w:r>
      <w:r w:rsidRPr="001F32D4" w:rsidR="001F32D4">
        <w:t>’</w:t>
      </w:r>
      <w:r w:rsidRPr="001F32D4" w:rsidR="00D7292D">
        <w:t xml:space="preserve"> failure to </w:t>
      </w:r>
      <w:r w:rsidRPr="001F32D4" w:rsidR="00077341">
        <w:t>fulfil</w:t>
      </w:r>
      <w:r w:rsidRPr="001F32D4" w:rsidR="00D7292D">
        <w:t xml:space="preserve"> the applicants</w:t>
      </w:r>
      <w:r w:rsidRPr="001F32D4" w:rsidR="001F32D4">
        <w:t>’</w:t>
      </w:r>
      <w:r w:rsidRPr="001F32D4" w:rsidR="00D7292D">
        <w:t xml:space="preserve"> legitimate expectation</w:t>
      </w:r>
      <w:r w:rsidRPr="001F32D4" w:rsidR="00A46F30">
        <w:t xml:space="preserve"> by offering </w:t>
      </w:r>
      <w:r w:rsidRPr="001F32D4" w:rsidR="00D7292D">
        <w:t xml:space="preserve">some form of </w:t>
      </w:r>
      <w:r w:rsidRPr="001F32D4" w:rsidR="00A46F30">
        <w:t xml:space="preserve">settlement in exchange </w:t>
      </w:r>
      <w:r w:rsidRPr="001F32D4" w:rsidR="004E6BB7">
        <w:t xml:space="preserve">for </w:t>
      </w:r>
      <w:r w:rsidRPr="001F32D4" w:rsidR="00D7292D">
        <w:t xml:space="preserve">their bonds </w:t>
      </w:r>
      <w:r w:rsidRPr="001F32D4" w:rsidR="00861A9C">
        <w:t>wa</w:t>
      </w:r>
      <w:r w:rsidRPr="001F32D4" w:rsidR="00D7292D">
        <w:t xml:space="preserve">s in </w:t>
      </w:r>
      <w:r w:rsidRPr="001F32D4" w:rsidR="00861A9C">
        <w:t>breach</w:t>
      </w:r>
      <w:r w:rsidRPr="001F32D4" w:rsidR="00D7292D">
        <w:t xml:space="preserve"> of </w:t>
      </w:r>
      <w:r w:rsidRPr="001F32D4" w:rsidR="00077341">
        <w:t xml:space="preserve">Article 1 of </w:t>
      </w:r>
      <w:r w:rsidRPr="001F32D4" w:rsidR="00D7292D">
        <w:t xml:space="preserve">Protocol </w:t>
      </w:r>
      <w:r w:rsidRPr="001F32D4" w:rsidR="004E6BB7">
        <w:t>N</w:t>
      </w:r>
      <w:r w:rsidRPr="001F32D4" w:rsidR="00D7292D">
        <w:t>o. 1 to the Convention.</w:t>
      </w:r>
      <w:r w:rsidRPr="001F32D4" w:rsidR="00861A9C">
        <w:t xml:space="preserve"> </w:t>
      </w:r>
      <w:r w:rsidRPr="001F32D4" w:rsidR="00A46F30">
        <w:t>This conclusion echoes the Court</w:t>
      </w:r>
      <w:r w:rsidRPr="001F32D4" w:rsidR="001F32D4">
        <w:t>’</w:t>
      </w:r>
      <w:r w:rsidRPr="001F32D4" w:rsidR="00A46F30">
        <w:t xml:space="preserve">s findings in the series of similar cases listed in </w:t>
      </w:r>
      <w:r w:rsidRPr="001F32D4" w:rsidR="00077341">
        <w:t xml:space="preserve">paragraph </w:t>
      </w:r>
      <w:r w:rsidRPr="001F32D4" w:rsidR="00077341">
        <w:fldChar w:fldCharType="begin"/>
      </w:r>
      <w:r w:rsidRPr="001F32D4" w:rsidR="00077341">
        <w:instrText xml:space="preserve"> REF caselaw \h </w:instrText>
      </w:r>
      <w:r w:rsidRPr="001F32D4" w:rsidR="00077341">
        <w:fldChar w:fldCharType="separate"/>
      </w:r>
      <w:r w:rsidRPr="001F32D4" w:rsidR="001F32D4">
        <w:rPr>
          <w:noProof/>
        </w:rPr>
        <w:t>20</w:t>
      </w:r>
      <w:r w:rsidRPr="001F32D4" w:rsidR="00077341">
        <w:fldChar w:fldCharType="end"/>
      </w:r>
      <w:r w:rsidRPr="001F32D4" w:rsidR="00077341">
        <w:t xml:space="preserve"> above</w:t>
      </w:r>
      <w:r w:rsidRPr="001F32D4" w:rsidR="00A46F30">
        <w:t xml:space="preserve">. </w:t>
      </w:r>
      <w:r w:rsidRPr="001F32D4" w:rsidR="00FD20C6">
        <w:t>The first three of those cases concerned a different type of bonds which had also been recognised as part of the State</w:t>
      </w:r>
      <w:r w:rsidRPr="001F32D4" w:rsidR="001F32D4">
        <w:t>’</w:t>
      </w:r>
      <w:r w:rsidRPr="001F32D4" w:rsidR="00FD20C6">
        <w:t xml:space="preserve">s internal debt. </w:t>
      </w:r>
      <w:r w:rsidRPr="001F32D4" w:rsidR="00F44F3F">
        <w:t>I</w:t>
      </w:r>
      <w:r w:rsidRPr="001F32D4" w:rsidR="001F3E11">
        <w:t xml:space="preserve">mplementation </w:t>
      </w:r>
      <w:r w:rsidRPr="001F32D4" w:rsidR="00FD20C6">
        <w:t>of</w:t>
      </w:r>
      <w:r w:rsidRPr="001F32D4" w:rsidR="00F44F3F">
        <w:t xml:space="preserve"> the</w:t>
      </w:r>
      <w:r w:rsidRPr="001F32D4" w:rsidR="00FD20C6">
        <w:t xml:space="preserve"> federal legislation governing their buyout had been suspended between 2003 and 2009. In July 2009 a federal law governing the buyout procedure had been adopted. It was followed, in September 2009, by a Government regulation setting out the procedure for making payments in exchange for bonds (see </w:t>
      </w:r>
      <w:proofErr w:type="spellStart"/>
      <w:r w:rsidRPr="001F32D4" w:rsidR="00FD20C6">
        <w:rPr>
          <w:i/>
        </w:rPr>
        <w:t>Tronin</w:t>
      </w:r>
      <w:proofErr w:type="spellEnd"/>
      <w:r w:rsidRPr="001F32D4" w:rsidR="00FD20C6">
        <w:t>, cited above, §§ 29-31). The Court noted, in respect of that type of bond</w:t>
      </w:r>
      <w:r w:rsidRPr="001F32D4" w:rsidR="006D2AC3">
        <w:t>s</w:t>
      </w:r>
      <w:r w:rsidRPr="001F32D4" w:rsidR="00FD20C6">
        <w:t xml:space="preserve">, that it was open to the applicants to apply to the competent domestic authorities for </w:t>
      </w:r>
      <w:r w:rsidRPr="001F32D4" w:rsidR="006D2AC3">
        <w:t xml:space="preserve">their </w:t>
      </w:r>
      <w:r w:rsidRPr="001F32D4" w:rsidR="00FD20C6">
        <w:t>redemption (</w:t>
      </w:r>
      <w:proofErr w:type="gramStart"/>
      <w:r w:rsidRPr="001F32D4" w:rsidR="00FD20C6">
        <w:t>ibid.,</w:t>
      </w:r>
      <w:proofErr w:type="gramEnd"/>
      <w:r w:rsidRPr="001F32D4" w:rsidR="00FD20C6">
        <w:t xml:space="preserve"> § 67). </w:t>
      </w:r>
      <w:r w:rsidRPr="001F32D4" w:rsidR="00F827A4">
        <w:t>T</w:t>
      </w:r>
      <w:r w:rsidRPr="001F32D4" w:rsidR="00FD20C6">
        <w:t xml:space="preserve">he matter was </w:t>
      </w:r>
      <w:r w:rsidRPr="001F32D4" w:rsidR="00F827A4">
        <w:t xml:space="preserve">thus </w:t>
      </w:r>
      <w:r w:rsidRPr="001F32D4" w:rsidR="00FD20C6">
        <w:t>resolved and no general measures were required for the execution of the Court</w:t>
      </w:r>
      <w:r w:rsidRPr="001F32D4" w:rsidR="001F32D4">
        <w:t>’</w:t>
      </w:r>
      <w:r w:rsidRPr="001F32D4" w:rsidR="00FD20C6">
        <w:t>s judgments concerning that type of bond</w:t>
      </w:r>
      <w:r w:rsidRPr="001F32D4" w:rsidR="006D2AC3">
        <w:t>s</w:t>
      </w:r>
      <w:r w:rsidRPr="001F32D4" w:rsidR="00FD20C6">
        <w:t>.</w:t>
      </w:r>
    </w:p>
    <w:p w:rsidRPr="001F32D4" w:rsidR="003345AA" w:rsidP="001F32D4" w:rsidRDefault="00A356F5">
      <w:pPr>
        <w:pStyle w:val="ECHRPara"/>
      </w:pPr>
      <w:r w:rsidRPr="001F32D4">
        <w:fldChar w:fldCharType="begin"/>
      </w:r>
      <w:r w:rsidRPr="001F32D4">
        <w:instrText xml:space="preserve"> SEQ level0 \*arabic </w:instrText>
      </w:r>
      <w:r w:rsidRPr="001F32D4">
        <w:fldChar w:fldCharType="separate"/>
      </w:r>
      <w:r w:rsidRPr="001F32D4" w:rsidR="001F32D4">
        <w:rPr>
          <w:noProof/>
        </w:rPr>
        <w:t>48</w:t>
      </w:r>
      <w:r w:rsidRPr="001F32D4">
        <w:fldChar w:fldCharType="end"/>
      </w:r>
      <w:r w:rsidRPr="001F32D4">
        <w:t>.  </w:t>
      </w:r>
      <w:r w:rsidRPr="001F32D4" w:rsidR="00FD20C6">
        <w:t xml:space="preserve">By contrast, since the </w:t>
      </w:r>
      <w:r w:rsidRPr="001F32D4" w:rsidR="006D2AC3">
        <w:rPr>
          <w:i/>
        </w:rPr>
        <w:t xml:space="preserve">Yuriy </w:t>
      </w:r>
      <w:proofErr w:type="spellStart"/>
      <w:r w:rsidRPr="001F32D4" w:rsidR="006D2AC3">
        <w:rPr>
          <w:i/>
        </w:rPr>
        <w:t>Lobanov</w:t>
      </w:r>
      <w:proofErr w:type="spellEnd"/>
      <w:r w:rsidRPr="001F32D4" w:rsidR="00FD20C6">
        <w:t xml:space="preserve"> judgment in 2010, t</w:t>
      </w:r>
      <w:r w:rsidRPr="001F32D4">
        <w:t xml:space="preserve">here has been </w:t>
      </w:r>
      <w:r w:rsidRPr="001F32D4" w:rsidR="00F44F3F">
        <w:t xml:space="preserve">no </w:t>
      </w:r>
      <w:r w:rsidRPr="001F32D4">
        <w:t>tangible progress in the execution proceedings</w:t>
      </w:r>
      <w:r w:rsidRPr="001F32D4" w:rsidR="003345AA">
        <w:t xml:space="preserve"> concerning the 1982</w:t>
      </w:r>
      <w:r w:rsidRPr="001F32D4" w:rsidR="00A43C33">
        <w:t xml:space="preserve"> premium</w:t>
      </w:r>
      <w:r w:rsidRPr="001F32D4" w:rsidR="003345AA">
        <w:t xml:space="preserve"> bonds at issue in the present case</w:t>
      </w:r>
      <w:r w:rsidRPr="001F32D4" w:rsidR="00FD20C6">
        <w:t>.</w:t>
      </w:r>
      <w:r w:rsidRPr="001F32D4">
        <w:t xml:space="preserve"> </w:t>
      </w:r>
      <w:r w:rsidRPr="001F32D4" w:rsidR="00FD20C6">
        <w:t>T</w:t>
      </w:r>
      <w:r w:rsidRPr="001F32D4">
        <w:t xml:space="preserve">he Russian Government reported to the Committee of Ministers that they had distributed a Russian translation of the judgment to various authorities and established an interagency commission for </w:t>
      </w:r>
      <w:r w:rsidRPr="001F32D4" w:rsidR="00077341">
        <w:t>“</w:t>
      </w:r>
      <w:r w:rsidRPr="001F32D4">
        <w:t>pre-reform</w:t>
      </w:r>
      <w:r w:rsidRPr="001F32D4" w:rsidR="00077341">
        <w:t>”</w:t>
      </w:r>
      <w:r w:rsidRPr="001F32D4">
        <w:t xml:space="preserve"> (</w:t>
      </w:r>
      <w:r w:rsidRPr="001F32D4" w:rsidR="00077341">
        <w:t xml:space="preserve">that is to say, </w:t>
      </w:r>
      <w:r w:rsidRPr="001F32D4">
        <w:t>Soviet</w:t>
      </w:r>
      <w:r w:rsidRPr="001F32D4" w:rsidR="00077341">
        <w:t>-time</w:t>
      </w:r>
      <w:r w:rsidRPr="001F32D4">
        <w:t>) savings under the aegis of the Ministry of Finance (see DH-</w:t>
      </w:r>
      <w:proofErr w:type="gramStart"/>
      <w:r w:rsidRPr="001F32D4">
        <w:t>DD(</w:t>
      </w:r>
      <w:proofErr w:type="gramEnd"/>
      <w:r w:rsidRPr="001F32D4">
        <w:t xml:space="preserve">2012)31 - Communication from the Russian authorities </w:t>
      </w:r>
      <w:r w:rsidRPr="001F32D4" w:rsidR="00077341">
        <w:t xml:space="preserve">dated 30 November 2011, </w:t>
      </w:r>
      <w:r w:rsidRPr="001F32D4">
        <w:t xml:space="preserve">and DH-DD(2013)379 - Communication from the Russian authorities </w:t>
      </w:r>
      <w:r w:rsidRPr="001F32D4" w:rsidR="00077341">
        <w:t xml:space="preserve">dated 25 March </w:t>
      </w:r>
      <w:r w:rsidRPr="001F32D4">
        <w:t xml:space="preserve">2013). The work of the interagency commission did not result in any draft legislation being proposed or discussed in Parliament. </w:t>
      </w:r>
      <w:r w:rsidRPr="001F32D4" w:rsidR="003345AA">
        <w:t xml:space="preserve">As the Court has found above, an inventory of the outstanding bonds has never been completed and their current amount cannot be known. </w:t>
      </w:r>
      <w:r w:rsidRPr="001F32D4">
        <w:t xml:space="preserve">The obligation to offer some kind of settlement to </w:t>
      </w:r>
      <w:r w:rsidRPr="001F32D4" w:rsidR="00A43C33">
        <w:t xml:space="preserve">the </w:t>
      </w:r>
      <w:r w:rsidRPr="001F32D4">
        <w:t>holders of 1982</w:t>
      </w:r>
      <w:r w:rsidRPr="001F32D4" w:rsidR="00A43C33">
        <w:t xml:space="preserve"> premium</w:t>
      </w:r>
      <w:r w:rsidRPr="001F32D4">
        <w:t xml:space="preserve"> bonds continues to exist in domestic law</w:t>
      </w:r>
      <w:r w:rsidRPr="001F32D4" w:rsidR="00F44F3F">
        <w:t xml:space="preserve">; </w:t>
      </w:r>
      <w:r w:rsidRPr="001F32D4">
        <w:t xml:space="preserve">it has not been extinguished or annulled but merely postponed or suspended by successive laws, most recently for a three-year period starting from 1 January 2017 (see paragraph </w:t>
      </w:r>
      <w:r w:rsidRPr="001F32D4" w:rsidR="006D1C97">
        <w:fldChar w:fldCharType="begin"/>
      </w:r>
      <w:r w:rsidRPr="001F32D4" w:rsidR="006D1C97">
        <w:instrText xml:space="preserve"> REF suspended2017 \h </w:instrText>
      </w:r>
      <w:r w:rsidRPr="001F32D4" w:rsidR="006D1C97">
        <w:fldChar w:fldCharType="separate"/>
      </w:r>
      <w:r w:rsidRPr="001F32D4" w:rsidR="001F32D4">
        <w:rPr>
          <w:noProof/>
        </w:rPr>
        <w:t>12</w:t>
      </w:r>
      <w:r w:rsidRPr="001F32D4" w:rsidR="006D1C97">
        <w:fldChar w:fldCharType="end"/>
      </w:r>
      <w:r w:rsidRPr="001F32D4" w:rsidR="003345AA">
        <w:t xml:space="preserve"> above</w:t>
      </w:r>
      <w:r w:rsidRPr="001F32D4">
        <w:t xml:space="preserve">). </w:t>
      </w:r>
      <w:r w:rsidRPr="001F32D4" w:rsidR="003345AA">
        <w:t xml:space="preserve">The Court therefore </w:t>
      </w:r>
      <w:r w:rsidRPr="001F32D4" w:rsidR="00F8420E">
        <w:t>concludes</w:t>
      </w:r>
      <w:r w:rsidRPr="001F32D4" w:rsidR="003345AA">
        <w:t xml:space="preserve"> that there exists a structural problem stemming from the authorities</w:t>
      </w:r>
      <w:r w:rsidRPr="001F32D4" w:rsidR="001F32D4">
        <w:t>’</w:t>
      </w:r>
      <w:r w:rsidRPr="001F32D4" w:rsidR="003345AA">
        <w:t xml:space="preserve"> </w:t>
      </w:r>
      <w:r w:rsidRPr="001F32D4" w:rsidR="00F44F3F">
        <w:t>continued</w:t>
      </w:r>
      <w:r w:rsidRPr="001F32D4" w:rsidR="003345AA">
        <w:t xml:space="preserve"> failure to implement the entitlement of the bondholders to some form of compensation and to execute its earlier judgments concerning the same issue, which amounts to a practice incompatible with the Convention.</w:t>
      </w:r>
    </w:p>
    <w:p w:rsidRPr="001F32D4" w:rsidR="001143E3" w:rsidP="001F32D4" w:rsidRDefault="003345AA">
      <w:pPr>
        <w:pStyle w:val="ECHRPara"/>
      </w:pPr>
      <w:r w:rsidRPr="001F32D4">
        <w:fldChar w:fldCharType="begin"/>
      </w:r>
      <w:r w:rsidRPr="001F32D4">
        <w:instrText xml:space="preserve"> SEQ level0 \*arabic </w:instrText>
      </w:r>
      <w:r w:rsidRPr="001F32D4">
        <w:fldChar w:fldCharType="separate"/>
      </w:r>
      <w:r w:rsidRPr="001F32D4" w:rsidR="001F32D4">
        <w:rPr>
          <w:noProof/>
        </w:rPr>
        <w:t>49</w:t>
      </w:r>
      <w:r w:rsidRPr="001F32D4">
        <w:fldChar w:fldCharType="end"/>
      </w:r>
      <w:r w:rsidRPr="001F32D4">
        <w:t xml:space="preserve">.  Accordingly, the Court considers that, in order to comply with its obligations under Article 46 of the Convention, the respondent State </w:t>
      </w:r>
      <w:r w:rsidRPr="001F32D4" w:rsidR="00F8420E">
        <w:t>should</w:t>
      </w:r>
      <w:r w:rsidRPr="001F32D4">
        <w:t>, without further delay, initiate a genuine discussion with t</w:t>
      </w:r>
      <w:r w:rsidRPr="001F32D4" w:rsidR="006148F3">
        <w:t xml:space="preserve">he Committee of Ministers </w:t>
      </w:r>
      <w:r w:rsidRPr="001F32D4">
        <w:t xml:space="preserve">on </w:t>
      </w:r>
      <w:r w:rsidRPr="001F32D4" w:rsidR="006148F3">
        <w:t>the issue of what may be required by way of compliance</w:t>
      </w:r>
      <w:r w:rsidRPr="001F32D4">
        <w:t xml:space="preserve"> with the present and earlier judgment</w:t>
      </w:r>
      <w:r w:rsidRPr="001F32D4" w:rsidR="00371017">
        <w:t>s</w:t>
      </w:r>
      <w:r w:rsidRPr="001F32D4">
        <w:t xml:space="preserve"> concerning the 1982</w:t>
      </w:r>
      <w:r w:rsidRPr="001F32D4" w:rsidR="00A43C33">
        <w:t xml:space="preserve"> premium</w:t>
      </w:r>
      <w:r w:rsidRPr="001F32D4">
        <w:t xml:space="preserve"> bonds</w:t>
      </w:r>
      <w:r w:rsidRPr="001F32D4" w:rsidR="006148F3">
        <w:t>.</w:t>
      </w:r>
    </w:p>
    <w:p w:rsidRPr="001F32D4" w:rsidR="00014566" w:rsidP="001F32D4" w:rsidRDefault="00BB5883">
      <w:pPr>
        <w:pStyle w:val="ECHRTitle1"/>
      </w:pPr>
      <w:r w:rsidRPr="001F32D4">
        <w:t>FOR THESE REASONS, THE COURT</w:t>
      </w:r>
      <w:r w:rsidRPr="001F32D4" w:rsidR="00FD03DD">
        <w:t>, UNANIMOUSLY,</w:t>
      </w:r>
    </w:p>
    <w:p w:rsidRPr="001F32D4" w:rsidR="009B5DB4" w:rsidP="001F32D4" w:rsidRDefault="009B5DB4">
      <w:pPr>
        <w:pStyle w:val="JuList"/>
      </w:pPr>
      <w:r w:rsidRPr="001F32D4">
        <w:t>1.  </w:t>
      </w:r>
      <w:r w:rsidRPr="001F32D4">
        <w:rPr>
          <w:i/>
        </w:rPr>
        <w:t>Decides</w:t>
      </w:r>
      <w:r w:rsidRPr="001F32D4">
        <w:t xml:space="preserve"> to join the applications;</w:t>
      </w:r>
    </w:p>
    <w:p w:rsidRPr="001F32D4" w:rsidR="009B5DB4" w:rsidP="001F32D4" w:rsidRDefault="009B5DB4">
      <w:pPr>
        <w:pStyle w:val="JuList"/>
      </w:pPr>
    </w:p>
    <w:p w:rsidRPr="001F32D4" w:rsidR="00B637B9" w:rsidP="001F32D4" w:rsidRDefault="009B5DB4">
      <w:pPr>
        <w:pStyle w:val="JuList"/>
      </w:pPr>
      <w:r w:rsidRPr="001F32D4">
        <w:t>2</w:t>
      </w:r>
      <w:r w:rsidRPr="001F32D4" w:rsidR="00B637B9">
        <w:t>.  </w:t>
      </w:r>
      <w:proofErr w:type="gramStart"/>
      <w:r w:rsidRPr="001F32D4" w:rsidR="00B637B9">
        <w:rPr>
          <w:i/>
        </w:rPr>
        <w:t>Declares</w:t>
      </w:r>
      <w:proofErr w:type="gramEnd"/>
      <w:r w:rsidRPr="001F32D4" w:rsidR="00FD03DD">
        <w:t xml:space="preserve"> </w:t>
      </w:r>
      <w:r w:rsidRPr="001F32D4" w:rsidR="00B637B9">
        <w:t xml:space="preserve">the </w:t>
      </w:r>
      <w:r w:rsidRPr="001F32D4" w:rsidR="00077341">
        <w:t>case</w:t>
      </w:r>
      <w:r w:rsidRPr="001F32D4" w:rsidR="00B637B9">
        <w:t xml:space="preserve"> admissible;</w:t>
      </w:r>
    </w:p>
    <w:p w:rsidRPr="001F32D4" w:rsidR="00014566" w:rsidP="001F32D4" w:rsidRDefault="00014566">
      <w:pPr>
        <w:pStyle w:val="JuList"/>
        <w:ind w:left="0" w:firstLine="0"/>
      </w:pPr>
    </w:p>
    <w:p w:rsidRPr="001F32D4" w:rsidR="00014566" w:rsidP="001F32D4" w:rsidRDefault="009B5DB4">
      <w:pPr>
        <w:pStyle w:val="JuList"/>
      </w:pPr>
      <w:r w:rsidRPr="001F32D4">
        <w:t>3</w:t>
      </w:r>
      <w:r w:rsidRPr="001F32D4" w:rsidR="00014566">
        <w:t>.  </w:t>
      </w:r>
      <w:proofErr w:type="gramStart"/>
      <w:r w:rsidRPr="001F32D4" w:rsidR="00014566">
        <w:rPr>
          <w:i/>
        </w:rPr>
        <w:t>Holds</w:t>
      </w:r>
      <w:proofErr w:type="gramEnd"/>
      <w:r w:rsidRPr="001F32D4" w:rsidR="00FD03DD">
        <w:t xml:space="preserve"> </w:t>
      </w:r>
      <w:r w:rsidRPr="001F32D4" w:rsidR="00014566">
        <w:t xml:space="preserve">that there has been a violation of Article </w:t>
      </w:r>
      <w:r w:rsidRPr="001F32D4" w:rsidR="00CD6E84">
        <w:t>1 of Protocol No. 1</w:t>
      </w:r>
      <w:r w:rsidRPr="001F32D4" w:rsidR="00A2753F">
        <w:t xml:space="preserve"> to the Convention</w:t>
      </w:r>
      <w:r w:rsidRPr="001F32D4" w:rsidR="00014566">
        <w:t>;</w:t>
      </w:r>
    </w:p>
    <w:p w:rsidRPr="001F32D4" w:rsidR="00014566" w:rsidP="001F32D4" w:rsidRDefault="00014566">
      <w:pPr>
        <w:pStyle w:val="JuList"/>
      </w:pPr>
    </w:p>
    <w:p w:rsidRPr="001F32D4" w:rsidR="00014566" w:rsidP="001F32D4" w:rsidRDefault="002B29BD">
      <w:pPr>
        <w:pStyle w:val="JuList"/>
      </w:pPr>
      <w:r w:rsidRPr="001F32D4">
        <w:t>4</w:t>
      </w:r>
      <w:r w:rsidRPr="001F32D4" w:rsidR="00FD03DD">
        <w:t>.  </w:t>
      </w:r>
      <w:r w:rsidRPr="001F32D4" w:rsidR="00FD03DD">
        <w:rPr>
          <w:i/>
        </w:rPr>
        <w:t>Holds</w:t>
      </w:r>
      <w:r w:rsidRPr="001F32D4" w:rsidR="00FD03DD">
        <w:t xml:space="preserve"> that the finding of a violation constitutes in itself sufficient just satisfaction for the non-pecuniary damage sustained by the applicants</w:t>
      </w:r>
      <w:r w:rsidRPr="001F32D4">
        <w:t xml:space="preserve"> Mr </w:t>
      </w:r>
      <w:proofErr w:type="spellStart"/>
      <w:r w:rsidRPr="001F32D4">
        <w:t>Volokitin</w:t>
      </w:r>
      <w:proofErr w:type="spellEnd"/>
      <w:r w:rsidRPr="001F32D4">
        <w:t xml:space="preserve">, Ms </w:t>
      </w:r>
      <w:proofErr w:type="spellStart"/>
      <w:r w:rsidRPr="001F32D4">
        <w:t>Alekseyeva</w:t>
      </w:r>
      <w:proofErr w:type="spellEnd"/>
      <w:r w:rsidRPr="001F32D4">
        <w:t>, Mr </w:t>
      </w:r>
      <w:proofErr w:type="spellStart"/>
      <w:r w:rsidRPr="001F32D4">
        <w:t>Losyakov</w:t>
      </w:r>
      <w:proofErr w:type="spellEnd"/>
      <w:r w:rsidRPr="001F32D4">
        <w:t xml:space="preserve">, Mr </w:t>
      </w:r>
      <w:proofErr w:type="spellStart"/>
      <w:r w:rsidRPr="001F32D4">
        <w:t>Galayev</w:t>
      </w:r>
      <w:proofErr w:type="spellEnd"/>
      <w:r w:rsidRPr="001F32D4">
        <w:t xml:space="preserve">, Mr </w:t>
      </w:r>
      <w:proofErr w:type="spellStart"/>
      <w:r w:rsidRPr="001F32D4">
        <w:t>Gusev</w:t>
      </w:r>
      <w:proofErr w:type="spellEnd"/>
      <w:r w:rsidRPr="001F32D4">
        <w:t xml:space="preserve">, Mr </w:t>
      </w:r>
      <w:proofErr w:type="spellStart"/>
      <w:r w:rsidRPr="001F32D4">
        <w:t>Ruzanov</w:t>
      </w:r>
      <w:proofErr w:type="spellEnd"/>
      <w:r w:rsidRPr="001F32D4">
        <w:t>, Mr</w:t>
      </w:r>
      <w:r w:rsidRPr="001F32D4" w:rsidR="0016064C">
        <w:t> </w:t>
      </w:r>
      <w:proofErr w:type="spellStart"/>
      <w:r w:rsidRPr="001F32D4">
        <w:t>Zheltov</w:t>
      </w:r>
      <w:proofErr w:type="spellEnd"/>
      <w:r w:rsidRPr="001F32D4">
        <w:t xml:space="preserve">, and Mr </w:t>
      </w:r>
      <w:proofErr w:type="spellStart"/>
      <w:r w:rsidRPr="001F32D4">
        <w:t>Karagezov</w:t>
      </w:r>
      <w:proofErr w:type="spellEnd"/>
      <w:r w:rsidRPr="001F32D4" w:rsidR="00FD03DD">
        <w:t>;</w:t>
      </w:r>
    </w:p>
    <w:p w:rsidRPr="001F32D4" w:rsidR="00014566" w:rsidP="001F32D4" w:rsidRDefault="00014566">
      <w:pPr>
        <w:pStyle w:val="JuList"/>
      </w:pPr>
    </w:p>
    <w:p w:rsidRPr="001F32D4" w:rsidR="001143E3" w:rsidP="001F32D4" w:rsidRDefault="00077341">
      <w:pPr>
        <w:pStyle w:val="JuList"/>
      </w:pPr>
      <w:r w:rsidRPr="001F32D4">
        <w:t>5</w:t>
      </w:r>
      <w:r w:rsidRPr="001F32D4" w:rsidR="00014566">
        <w:t>.  </w:t>
      </w:r>
      <w:r w:rsidRPr="001F32D4" w:rsidR="00014566">
        <w:rPr>
          <w:i/>
        </w:rPr>
        <w:t>Holds</w:t>
      </w:r>
    </w:p>
    <w:p w:rsidRPr="001F32D4" w:rsidR="00014566" w:rsidP="001F32D4" w:rsidRDefault="00014566">
      <w:pPr>
        <w:pStyle w:val="JuLista"/>
      </w:pPr>
      <w:r w:rsidRPr="001F32D4">
        <w:t>(a)  that the respondent State is to pay, within three months</w:t>
      </w:r>
      <w:r w:rsidRPr="001F32D4" w:rsidR="00FD03DD">
        <w:t xml:space="preserve"> from the date on which the judgment becomes final in accordance with Article 44 § 2 of the Convention,</w:t>
      </w:r>
      <w:r w:rsidRPr="001F32D4">
        <w:t xml:space="preserve"> the following amounts,</w:t>
      </w:r>
      <w:r w:rsidRPr="001F32D4">
        <w:rPr>
          <w:b/>
        </w:rPr>
        <w:t xml:space="preserve"> </w:t>
      </w:r>
      <w:r w:rsidRPr="001F32D4">
        <w:t xml:space="preserve">to be converted into </w:t>
      </w:r>
      <w:r w:rsidRPr="001F32D4">
        <w:rPr>
          <w:color w:val="000000"/>
        </w:rPr>
        <w:t>the currency of the respondent State</w:t>
      </w:r>
      <w:r w:rsidRPr="001F32D4">
        <w:t xml:space="preserve"> at the rate applicable at the date of settlement:</w:t>
      </w:r>
    </w:p>
    <w:p w:rsidRPr="001F32D4" w:rsidR="00014566" w:rsidP="001F32D4" w:rsidRDefault="00014566">
      <w:pPr>
        <w:pStyle w:val="JuListi"/>
      </w:pPr>
      <w:r w:rsidRPr="001F32D4">
        <w:t>(</w:t>
      </w:r>
      <w:proofErr w:type="spellStart"/>
      <w:r w:rsidRPr="001F32D4">
        <w:t>i</w:t>
      </w:r>
      <w:proofErr w:type="spellEnd"/>
      <w:r w:rsidRPr="001F32D4">
        <w:t>)  </w:t>
      </w:r>
      <w:r w:rsidRPr="001F32D4" w:rsidR="00F20454">
        <w:t>EUR 2,490 (two thousand four hundred</w:t>
      </w:r>
      <w:r w:rsidRPr="001F32D4" w:rsidR="004E6BB7">
        <w:t xml:space="preserve"> and</w:t>
      </w:r>
      <w:r w:rsidRPr="001F32D4" w:rsidR="00F20454">
        <w:t xml:space="preserve"> ninety euros) to Ms </w:t>
      </w:r>
      <w:proofErr w:type="spellStart"/>
      <w:r w:rsidRPr="001F32D4" w:rsidR="00F20454">
        <w:t>Prokofyeva</w:t>
      </w:r>
      <w:proofErr w:type="spellEnd"/>
      <w:r w:rsidRPr="001F32D4" w:rsidR="00F20454">
        <w:t>, EUR 822 (eight hundred and twenty-two euros) to Mr Laptev, and EUR 6,030 (six thousand</w:t>
      </w:r>
      <w:r w:rsidRPr="001F32D4" w:rsidR="004E6BB7">
        <w:t xml:space="preserve"> and</w:t>
      </w:r>
      <w:r w:rsidRPr="001F32D4" w:rsidR="00F20454">
        <w:t xml:space="preserve"> thirty euros) to Mr </w:t>
      </w:r>
      <w:proofErr w:type="spellStart"/>
      <w:r w:rsidRPr="001F32D4" w:rsidR="00F20454">
        <w:t>Sevastyanov</w:t>
      </w:r>
      <w:proofErr w:type="spellEnd"/>
      <w:r w:rsidRPr="001F32D4">
        <w:t>, plus any tax that may be chargeable,</w:t>
      </w:r>
      <w:r w:rsidRPr="001F32D4" w:rsidR="00D3751A">
        <w:t xml:space="preserve"> </w:t>
      </w:r>
      <w:r w:rsidRPr="001F32D4">
        <w:t>in respect of pecuniary damage;</w:t>
      </w:r>
    </w:p>
    <w:p w:rsidRPr="001F32D4" w:rsidR="008F29EC" w:rsidP="001F32D4" w:rsidRDefault="008F29EC">
      <w:pPr>
        <w:pStyle w:val="JuListi"/>
      </w:pPr>
      <w:r w:rsidRPr="001F32D4">
        <w:t>(ii)  EUR 1,</w:t>
      </w:r>
      <w:r w:rsidRPr="001F32D4" w:rsidR="00CE6E37">
        <w:t>8</w:t>
      </w:r>
      <w:r w:rsidRPr="001F32D4">
        <w:t xml:space="preserve">00 (one thousand </w:t>
      </w:r>
      <w:r w:rsidRPr="001F32D4" w:rsidR="00CE6E37">
        <w:t xml:space="preserve">eight </w:t>
      </w:r>
      <w:r w:rsidRPr="001F32D4">
        <w:t xml:space="preserve">hundred euros) </w:t>
      </w:r>
      <w:r w:rsidRPr="001F32D4" w:rsidR="00CE6E37">
        <w:t xml:space="preserve">each </w:t>
      </w:r>
      <w:r w:rsidRPr="001F32D4">
        <w:t>to Ms </w:t>
      </w:r>
      <w:proofErr w:type="spellStart"/>
      <w:r w:rsidRPr="001F32D4">
        <w:t>Prokofyeva</w:t>
      </w:r>
      <w:proofErr w:type="spellEnd"/>
      <w:r w:rsidRPr="001F32D4">
        <w:t>, Mr Laptev and Mr </w:t>
      </w:r>
      <w:proofErr w:type="spellStart"/>
      <w:r w:rsidRPr="001F32D4">
        <w:t>Sevastyanov</w:t>
      </w:r>
      <w:proofErr w:type="spellEnd"/>
      <w:r w:rsidRPr="001F32D4">
        <w:t>, plus any tax that may be chargeable, in respect of non-pecuniary damage;</w:t>
      </w:r>
    </w:p>
    <w:p w:rsidRPr="001F32D4" w:rsidR="00014566" w:rsidP="001F32D4" w:rsidRDefault="00014566">
      <w:pPr>
        <w:pStyle w:val="JuListi"/>
      </w:pPr>
      <w:r w:rsidRPr="001F32D4">
        <w:t>(i</w:t>
      </w:r>
      <w:r w:rsidRPr="001F32D4" w:rsidR="008F29EC">
        <w:t>i</w:t>
      </w:r>
      <w:r w:rsidRPr="001F32D4">
        <w:t>i)  </w:t>
      </w:r>
      <w:r w:rsidRPr="001F32D4" w:rsidR="00935296">
        <w:t xml:space="preserve">EUR 100 (one hundred euros) to Ms </w:t>
      </w:r>
      <w:proofErr w:type="spellStart"/>
      <w:r w:rsidRPr="001F32D4" w:rsidR="00935296">
        <w:t>Alekseyeva</w:t>
      </w:r>
      <w:proofErr w:type="spellEnd"/>
      <w:r w:rsidRPr="001F32D4" w:rsidR="00935296">
        <w:t xml:space="preserve">, EUR 1,500 (one thousand five hundred euros) to Mr </w:t>
      </w:r>
      <w:proofErr w:type="spellStart"/>
      <w:r w:rsidRPr="001F32D4" w:rsidR="00935296">
        <w:t>Gusev</w:t>
      </w:r>
      <w:proofErr w:type="spellEnd"/>
      <w:r w:rsidRPr="001F32D4" w:rsidR="00935296">
        <w:t>, EUR 850 (eight hundred</w:t>
      </w:r>
      <w:r w:rsidRPr="001F32D4" w:rsidR="004E6BB7">
        <w:t xml:space="preserve"> and</w:t>
      </w:r>
      <w:r w:rsidRPr="001F32D4" w:rsidR="00935296">
        <w:t xml:space="preserve"> fifty euros) to Mr </w:t>
      </w:r>
      <w:proofErr w:type="spellStart"/>
      <w:r w:rsidRPr="001F32D4" w:rsidR="00935296">
        <w:t>Ruzanov</w:t>
      </w:r>
      <w:proofErr w:type="spellEnd"/>
      <w:r w:rsidRPr="001F32D4" w:rsidR="00935296">
        <w:t>, EUR 30 (thirty euros) to Mr</w:t>
      </w:r>
      <w:r w:rsidRPr="001F32D4" w:rsidR="00F20454">
        <w:t> </w:t>
      </w:r>
      <w:r w:rsidRPr="001F32D4" w:rsidR="00935296">
        <w:t>Laptev, EUR 450 (four hundred</w:t>
      </w:r>
      <w:r w:rsidRPr="001F32D4" w:rsidR="004E6BB7">
        <w:t xml:space="preserve"> and</w:t>
      </w:r>
      <w:r w:rsidRPr="001F32D4" w:rsidR="00AB3A18">
        <w:t xml:space="preserve"> fifty euros) to Mr </w:t>
      </w:r>
      <w:proofErr w:type="spellStart"/>
      <w:r w:rsidRPr="001F32D4" w:rsidR="00935296">
        <w:t>Sevastyanov</w:t>
      </w:r>
      <w:proofErr w:type="spellEnd"/>
      <w:r w:rsidRPr="001F32D4" w:rsidR="00935296">
        <w:t xml:space="preserve">, and EUR 46 (forty-six euros) to Mr </w:t>
      </w:r>
      <w:proofErr w:type="spellStart"/>
      <w:r w:rsidRPr="001F32D4" w:rsidR="00935296">
        <w:t>Karagezov</w:t>
      </w:r>
      <w:proofErr w:type="spellEnd"/>
      <w:r w:rsidRPr="001F32D4">
        <w:t>, plus any tax that may be chargeable to the applicant</w:t>
      </w:r>
      <w:r w:rsidRPr="001F32D4" w:rsidR="00FD03DD">
        <w:t>s</w:t>
      </w:r>
      <w:r w:rsidRPr="001F32D4">
        <w:t>, in respect of costs and expenses;</w:t>
      </w:r>
    </w:p>
    <w:p w:rsidRPr="001F32D4" w:rsidR="00014566" w:rsidP="001F32D4" w:rsidRDefault="00014566">
      <w:pPr>
        <w:pStyle w:val="JuLista"/>
      </w:pPr>
      <w:r w:rsidRPr="001F32D4">
        <w:t>(b)  that from the expiry of the above-mentioned three months until settlement simple interest shall be payable on the above amounts at a rate equal to the marginal lending rate of the European Central Bank during the default period plus three percentage points;</w:t>
      </w:r>
    </w:p>
    <w:p w:rsidRPr="001F32D4" w:rsidR="00014566" w:rsidP="001F32D4" w:rsidRDefault="00014566">
      <w:pPr>
        <w:pStyle w:val="JuList"/>
      </w:pPr>
    </w:p>
    <w:p w:rsidRPr="001F32D4" w:rsidR="00014566" w:rsidP="001F32D4" w:rsidRDefault="00077341">
      <w:pPr>
        <w:pStyle w:val="JuList"/>
      </w:pPr>
      <w:r w:rsidRPr="001F32D4">
        <w:t>6</w:t>
      </w:r>
      <w:r w:rsidRPr="001F32D4" w:rsidR="00014566">
        <w:t>.  </w:t>
      </w:r>
      <w:r w:rsidRPr="001F32D4" w:rsidR="00014566">
        <w:rPr>
          <w:i/>
        </w:rPr>
        <w:t>Dismisses</w:t>
      </w:r>
      <w:r w:rsidRPr="001F32D4" w:rsidR="00FD03DD">
        <w:t xml:space="preserve"> </w:t>
      </w:r>
      <w:r w:rsidRPr="001F32D4" w:rsidR="00014566">
        <w:t>the remainder of the applicant</w:t>
      </w:r>
      <w:r w:rsidRPr="001F32D4" w:rsidR="00FD03DD">
        <w:t>s</w:t>
      </w:r>
      <w:r w:rsidRPr="001F32D4" w:rsidR="001F32D4">
        <w:t>’</w:t>
      </w:r>
      <w:r w:rsidRPr="001F32D4" w:rsidR="00014566">
        <w:t xml:space="preserve"> claim for just satisfaction.</w:t>
      </w:r>
    </w:p>
    <w:p w:rsidRPr="001F32D4" w:rsidR="00014566" w:rsidP="001F32D4" w:rsidRDefault="00014566">
      <w:pPr>
        <w:pStyle w:val="JuParaLast"/>
      </w:pPr>
      <w:r w:rsidRPr="001F32D4">
        <w:t xml:space="preserve">Done in English, and notified in writing on </w:t>
      </w:r>
      <w:r w:rsidRPr="001F32D4" w:rsidR="002C3D25">
        <w:t>3 July 2018</w:t>
      </w:r>
      <w:r w:rsidRPr="001F32D4" w:rsidR="00C915FB">
        <w:t>, pursuant to Rule </w:t>
      </w:r>
      <w:r w:rsidRPr="001F32D4">
        <w:t>77</w:t>
      </w:r>
      <w:r w:rsidRPr="001F32D4" w:rsidR="00C915FB">
        <w:t> </w:t>
      </w:r>
      <w:r w:rsidRPr="001F32D4">
        <w:t>§§</w:t>
      </w:r>
      <w:r w:rsidRPr="001F32D4" w:rsidR="00C915FB">
        <w:t> </w:t>
      </w:r>
      <w:r w:rsidRPr="001F32D4">
        <w:t>2 and 3 of the Rules of Court.</w:t>
      </w:r>
    </w:p>
    <w:p w:rsidRPr="001F32D4" w:rsidR="00072536" w:rsidP="001F32D4" w:rsidRDefault="00014566">
      <w:pPr>
        <w:pStyle w:val="JuSigned"/>
      </w:pPr>
      <w:r w:rsidRPr="001F32D4">
        <w:tab/>
      </w:r>
      <w:proofErr w:type="spellStart"/>
      <w:r w:rsidRPr="001F32D4" w:rsidR="00064349">
        <w:t>Fatoş</w:t>
      </w:r>
      <w:proofErr w:type="spellEnd"/>
      <w:r w:rsidRPr="001F32D4" w:rsidR="00064349">
        <w:t xml:space="preserve"> Aracı</w:t>
      </w:r>
      <w:r w:rsidRPr="001F32D4">
        <w:tab/>
      </w:r>
      <w:r w:rsidRPr="001F32D4" w:rsidR="00FD03DD">
        <w:rPr>
          <w:szCs w:val="24"/>
        </w:rPr>
        <w:t xml:space="preserve">Helena </w:t>
      </w:r>
      <w:proofErr w:type="spellStart"/>
      <w:r w:rsidRPr="001F32D4" w:rsidR="00FD03DD">
        <w:rPr>
          <w:szCs w:val="24"/>
        </w:rPr>
        <w:t>Jäderblom</w:t>
      </w:r>
      <w:proofErr w:type="spellEnd"/>
      <w:r w:rsidRPr="001F32D4" w:rsidR="00E1557C">
        <w:rPr>
          <w:szCs w:val="24"/>
        </w:rPr>
        <w:br/>
      </w:r>
      <w:r w:rsidRPr="001F32D4">
        <w:tab/>
      </w:r>
      <w:r w:rsidRPr="001F32D4" w:rsidR="002C3D25">
        <w:t xml:space="preserve">Deputy </w:t>
      </w:r>
      <w:r w:rsidRPr="001F32D4" w:rsidR="00FD03DD">
        <w:rPr>
          <w:iCs/>
        </w:rPr>
        <w:t>Registrar</w:t>
      </w:r>
      <w:r w:rsidRPr="001F32D4">
        <w:tab/>
        <w:t>President</w:t>
      </w:r>
    </w:p>
    <w:p w:rsidRPr="001F32D4" w:rsidR="0011633F" w:rsidP="001F32D4" w:rsidRDefault="0011633F">
      <w:pPr>
        <w:pStyle w:val="JuParaLast"/>
      </w:pPr>
    </w:p>
    <w:p w:rsidRPr="001F32D4" w:rsidR="001118C4" w:rsidP="001F32D4" w:rsidRDefault="001118C4">
      <w:pPr>
        <w:pStyle w:val="JuParaLast"/>
      </w:pPr>
    </w:p>
    <w:p w:rsidRPr="001F32D4" w:rsidR="001118C4" w:rsidP="001F32D4" w:rsidRDefault="001118C4">
      <w:pPr>
        <w:pStyle w:val="ECHRPara"/>
        <w:sectPr w:rsidRPr="001F32D4" w:rsidR="001118C4" w:rsidSect="001143E3">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pPr>
    </w:p>
    <w:p w:rsidRPr="001F32D4" w:rsidR="00030055" w:rsidP="001F32D4" w:rsidRDefault="00030055">
      <w:pPr>
        <w:pStyle w:val="JuTitle"/>
        <w:spacing w:before="240"/>
      </w:pPr>
      <w:r w:rsidRPr="001F32D4">
        <w:t>APPENDIX</w:t>
      </w:r>
    </w:p>
    <w:tbl>
      <w:tblPr>
        <w:tblStyle w:val="ECHRListTable"/>
        <w:tblW w:w="0" w:type="auto"/>
        <w:tblLayout w:type="fixed"/>
        <w:tblLook w:val="05E0" w:firstRow="1" w:lastRow="1" w:firstColumn="1" w:lastColumn="1" w:noHBand="0" w:noVBand="1"/>
      </w:tblPr>
      <w:tblGrid>
        <w:gridCol w:w="555"/>
        <w:gridCol w:w="1373"/>
        <w:gridCol w:w="1274"/>
        <w:gridCol w:w="2133"/>
        <w:gridCol w:w="1300"/>
        <w:gridCol w:w="1701"/>
        <w:gridCol w:w="1418"/>
        <w:gridCol w:w="1694"/>
        <w:gridCol w:w="1058"/>
      </w:tblGrid>
      <w:tr w:rsidRPr="001F32D4" w:rsidR="004B155D" w:rsidTr="000015AC">
        <w:trPr>
          <w:cnfStyle w:val="100000000000" w:firstRow="1" w:lastRow="0" w:firstColumn="0" w:lastColumn="0" w:oddVBand="0" w:evenVBand="0" w:oddHBand="0" w:evenHBand="0" w:firstRowFirstColumn="0" w:firstRowLastColumn="0" w:lastRowFirstColumn="0" w:lastRowLastColumn="0"/>
          <w:cantSplit/>
          <w:trHeight w:val="1035"/>
        </w:trPr>
        <w:tc>
          <w:tcPr>
            <w:tcW w:w="555" w:type="dxa"/>
          </w:tcPr>
          <w:p w:rsidRPr="001F32D4" w:rsidR="004B155D" w:rsidP="001F32D4" w:rsidRDefault="004B155D">
            <w:pPr>
              <w:jc w:val="left"/>
              <w:rPr>
                <w:color w:val="auto"/>
                <w:sz w:val="18"/>
                <w:szCs w:val="18"/>
              </w:rPr>
            </w:pPr>
            <w:r w:rsidRPr="001F32D4">
              <w:rPr>
                <w:color w:val="auto"/>
                <w:sz w:val="18"/>
                <w:szCs w:val="18"/>
              </w:rPr>
              <w:t>No.</w:t>
            </w:r>
          </w:p>
        </w:tc>
        <w:tc>
          <w:tcPr>
            <w:tcW w:w="1373" w:type="dxa"/>
          </w:tcPr>
          <w:p w:rsidRPr="001F32D4" w:rsidR="004B155D" w:rsidP="001F32D4" w:rsidRDefault="004B155D">
            <w:pPr>
              <w:jc w:val="left"/>
              <w:rPr>
                <w:color w:val="auto"/>
                <w:sz w:val="18"/>
                <w:szCs w:val="18"/>
              </w:rPr>
            </w:pPr>
            <w:r w:rsidRPr="001F32D4">
              <w:rPr>
                <w:color w:val="auto"/>
                <w:sz w:val="18"/>
                <w:szCs w:val="18"/>
              </w:rPr>
              <w:t>Application no.</w:t>
            </w:r>
          </w:p>
        </w:tc>
        <w:tc>
          <w:tcPr>
            <w:tcW w:w="1274" w:type="dxa"/>
          </w:tcPr>
          <w:p w:rsidRPr="001F32D4" w:rsidR="004B155D" w:rsidP="001F32D4" w:rsidRDefault="004B155D">
            <w:pPr>
              <w:jc w:val="left"/>
              <w:rPr>
                <w:color w:val="auto"/>
                <w:sz w:val="18"/>
                <w:szCs w:val="18"/>
              </w:rPr>
            </w:pPr>
            <w:r w:rsidRPr="001F32D4">
              <w:rPr>
                <w:color w:val="auto"/>
                <w:sz w:val="18"/>
                <w:szCs w:val="18"/>
              </w:rPr>
              <w:t>Lodged on</w:t>
            </w:r>
          </w:p>
        </w:tc>
        <w:tc>
          <w:tcPr>
            <w:tcW w:w="2133" w:type="dxa"/>
          </w:tcPr>
          <w:p w:rsidRPr="001F32D4" w:rsidR="004B155D" w:rsidP="001F32D4" w:rsidRDefault="004B155D">
            <w:pPr>
              <w:jc w:val="left"/>
              <w:rPr>
                <w:color w:val="auto"/>
                <w:sz w:val="18"/>
                <w:szCs w:val="18"/>
              </w:rPr>
            </w:pPr>
            <w:r w:rsidRPr="001F32D4">
              <w:rPr>
                <w:color w:val="auto"/>
                <w:sz w:val="18"/>
                <w:szCs w:val="18"/>
              </w:rPr>
              <w:t>Applicant</w:t>
            </w:r>
            <w:r w:rsidRPr="001F32D4" w:rsidR="001F32D4">
              <w:rPr>
                <w:color w:val="auto"/>
                <w:sz w:val="18"/>
                <w:szCs w:val="18"/>
              </w:rPr>
              <w:t>’</w:t>
            </w:r>
            <w:r w:rsidRPr="001F32D4">
              <w:rPr>
                <w:color w:val="auto"/>
                <w:sz w:val="18"/>
                <w:szCs w:val="18"/>
              </w:rPr>
              <w:t>s name</w:t>
            </w:r>
          </w:p>
          <w:p w:rsidRPr="001F32D4" w:rsidR="004B155D" w:rsidP="001F32D4" w:rsidRDefault="004B155D">
            <w:pPr>
              <w:jc w:val="left"/>
              <w:rPr>
                <w:color w:val="auto"/>
                <w:sz w:val="18"/>
                <w:szCs w:val="18"/>
              </w:rPr>
            </w:pPr>
            <w:r w:rsidRPr="001F32D4">
              <w:rPr>
                <w:color w:val="auto"/>
                <w:sz w:val="18"/>
                <w:szCs w:val="18"/>
              </w:rPr>
              <w:t>Date of birth</w:t>
            </w:r>
          </w:p>
          <w:p w:rsidRPr="001F32D4" w:rsidR="004B155D" w:rsidP="001F32D4" w:rsidRDefault="004B155D">
            <w:pPr>
              <w:jc w:val="left"/>
              <w:rPr>
                <w:color w:val="auto"/>
                <w:sz w:val="18"/>
                <w:szCs w:val="18"/>
              </w:rPr>
            </w:pPr>
            <w:r w:rsidRPr="001F32D4">
              <w:rPr>
                <w:color w:val="auto"/>
                <w:sz w:val="18"/>
                <w:szCs w:val="18"/>
              </w:rPr>
              <w:t>Place of residence</w:t>
            </w:r>
          </w:p>
          <w:p w:rsidRPr="001F32D4" w:rsidR="004B155D" w:rsidP="001F32D4" w:rsidRDefault="004B155D">
            <w:pPr>
              <w:jc w:val="left"/>
              <w:rPr>
                <w:color w:val="auto"/>
                <w:sz w:val="18"/>
                <w:szCs w:val="18"/>
              </w:rPr>
            </w:pPr>
            <w:r w:rsidRPr="001F32D4">
              <w:rPr>
                <w:color w:val="auto"/>
                <w:sz w:val="18"/>
                <w:szCs w:val="18"/>
              </w:rPr>
              <w:t>Representative</w:t>
            </w:r>
          </w:p>
        </w:tc>
        <w:tc>
          <w:tcPr>
            <w:tcW w:w="1300" w:type="dxa"/>
          </w:tcPr>
          <w:p w:rsidRPr="001F32D4" w:rsidR="004B155D" w:rsidP="001F32D4" w:rsidRDefault="004B155D">
            <w:pPr>
              <w:jc w:val="left"/>
              <w:rPr>
                <w:color w:val="auto"/>
                <w:sz w:val="18"/>
                <w:szCs w:val="18"/>
              </w:rPr>
            </w:pPr>
            <w:r w:rsidRPr="001F32D4">
              <w:rPr>
                <w:color w:val="auto"/>
                <w:sz w:val="18"/>
                <w:szCs w:val="18"/>
              </w:rPr>
              <w:t>Value of bonds</w:t>
            </w:r>
          </w:p>
        </w:tc>
        <w:tc>
          <w:tcPr>
            <w:tcW w:w="1701" w:type="dxa"/>
          </w:tcPr>
          <w:p w:rsidRPr="001F32D4" w:rsidR="004B155D" w:rsidP="001F32D4" w:rsidRDefault="004B155D">
            <w:pPr>
              <w:jc w:val="left"/>
              <w:rPr>
                <w:color w:val="auto"/>
                <w:sz w:val="18"/>
                <w:szCs w:val="18"/>
              </w:rPr>
            </w:pPr>
            <w:r w:rsidRPr="001F32D4">
              <w:rPr>
                <w:color w:val="auto"/>
                <w:sz w:val="18"/>
                <w:szCs w:val="18"/>
              </w:rPr>
              <w:t>Reply to the question about the origin of bond</w:t>
            </w:r>
            <w:r w:rsidRPr="001F32D4" w:rsidR="008B0ADE">
              <w:rPr>
                <w:color w:val="auto"/>
                <w:sz w:val="18"/>
                <w:szCs w:val="18"/>
              </w:rPr>
              <w:t>s</w:t>
            </w:r>
            <w:r w:rsidRPr="001F32D4">
              <w:rPr>
                <w:color w:val="auto"/>
                <w:sz w:val="18"/>
                <w:szCs w:val="18"/>
              </w:rPr>
              <w:t xml:space="preserve"> </w:t>
            </w:r>
          </w:p>
        </w:tc>
        <w:tc>
          <w:tcPr>
            <w:tcW w:w="4170" w:type="dxa"/>
            <w:gridSpan w:val="3"/>
          </w:tcPr>
          <w:tbl>
            <w:tblPr>
              <w:tblStyle w:val="ECHRListTable"/>
              <w:tblW w:w="0" w:type="auto"/>
              <w:tblLayout w:type="fixed"/>
              <w:tblLook w:val="05E0" w:firstRow="1" w:lastRow="1" w:firstColumn="1" w:lastColumn="1" w:noHBand="0" w:noVBand="1"/>
            </w:tblPr>
            <w:tblGrid>
              <w:gridCol w:w="1303"/>
              <w:gridCol w:w="1701"/>
              <w:gridCol w:w="950"/>
            </w:tblGrid>
            <w:tr w:rsidRPr="001F32D4" w:rsidR="004B155D" w:rsidTr="00AD0038">
              <w:trPr>
                <w:cnfStyle w:val="100000000000" w:firstRow="1" w:lastRow="0" w:firstColumn="0" w:lastColumn="0" w:oddVBand="0" w:evenVBand="0" w:oddHBand="0" w:evenHBand="0" w:firstRowFirstColumn="0" w:firstRowLastColumn="0" w:lastRowFirstColumn="0" w:lastRowLastColumn="0"/>
                <w:cantSplit/>
                <w:trHeight w:val="369"/>
              </w:trPr>
              <w:tc>
                <w:tcPr>
                  <w:tcW w:w="3954" w:type="dxa"/>
                  <w:gridSpan w:val="3"/>
                  <w:tcBorders>
                    <w:top w:val="nil"/>
                    <w:left w:val="nil"/>
                    <w:right w:val="nil"/>
                  </w:tcBorders>
                </w:tcPr>
                <w:p w:rsidRPr="001F32D4" w:rsidR="004B155D" w:rsidP="001F32D4" w:rsidRDefault="004B155D">
                  <w:pPr>
                    <w:jc w:val="center"/>
                    <w:rPr>
                      <w:color w:val="auto"/>
                      <w:sz w:val="18"/>
                      <w:szCs w:val="18"/>
                    </w:rPr>
                  </w:pPr>
                  <w:r w:rsidRPr="001F32D4">
                    <w:rPr>
                      <w:color w:val="auto"/>
                      <w:sz w:val="18"/>
                      <w:szCs w:val="18"/>
                    </w:rPr>
                    <w:t>Claims</w:t>
                  </w:r>
                </w:p>
              </w:tc>
            </w:tr>
            <w:tr w:rsidRPr="001F32D4" w:rsidR="004B155D" w:rsidTr="00AD0038">
              <w:trPr>
                <w:cantSplit/>
                <w:trHeight w:val="368"/>
              </w:trPr>
              <w:tc>
                <w:tcPr>
                  <w:tcW w:w="1303" w:type="dxa"/>
                  <w:tcBorders>
                    <w:left w:val="nil"/>
                    <w:bottom w:val="nil"/>
                  </w:tcBorders>
                  <w:shd w:val="clear" w:color="auto" w:fill="DFDFDF" w:themeFill="background2" w:themeFillShade="E6"/>
                </w:tcPr>
                <w:p w:rsidRPr="001F32D4" w:rsidR="004B155D" w:rsidP="001F32D4" w:rsidRDefault="004B155D">
                  <w:pPr>
                    <w:jc w:val="left"/>
                    <w:rPr>
                      <w:b/>
                      <w:sz w:val="18"/>
                      <w:szCs w:val="18"/>
                    </w:rPr>
                  </w:pPr>
                  <w:r w:rsidRPr="001F32D4">
                    <w:rPr>
                      <w:b/>
                      <w:sz w:val="18"/>
                      <w:szCs w:val="18"/>
                    </w:rPr>
                    <w:t>Non-pecuniary damage</w:t>
                  </w:r>
                </w:p>
              </w:tc>
              <w:tc>
                <w:tcPr>
                  <w:tcW w:w="1701" w:type="dxa"/>
                  <w:tcBorders>
                    <w:bottom w:val="nil"/>
                  </w:tcBorders>
                  <w:shd w:val="clear" w:color="auto" w:fill="DFDFDF" w:themeFill="background2" w:themeFillShade="E6"/>
                </w:tcPr>
                <w:p w:rsidRPr="001F32D4" w:rsidR="004B155D" w:rsidP="001F32D4" w:rsidRDefault="004B155D">
                  <w:pPr>
                    <w:jc w:val="left"/>
                    <w:rPr>
                      <w:b/>
                      <w:sz w:val="18"/>
                      <w:szCs w:val="18"/>
                    </w:rPr>
                  </w:pPr>
                  <w:r w:rsidRPr="001F32D4">
                    <w:rPr>
                      <w:b/>
                      <w:sz w:val="18"/>
                      <w:szCs w:val="18"/>
                    </w:rPr>
                    <w:t>Pecuniary damage</w:t>
                  </w:r>
                </w:p>
              </w:tc>
              <w:tc>
                <w:tcPr>
                  <w:tcW w:w="950" w:type="dxa"/>
                  <w:tcBorders>
                    <w:bottom w:val="nil"/>
                    <w:right w:val="nil"/>
                  </w:tcBorders>
                  <w:shd w:val="clear" w:color="auto" w:fill="DFDFDF" w:themeFill="background2" w:themeFillShade="E6"/>
                </w:tcPr>
                <w:p w:rsidRPr="001F32D4" w:rsidR="004B155D" w:rsidP="001F32D4" w:rsidRDefault="004B155D">
                  <w:pPr>
                    <w:ind w:left="-114"/>
                    <w:jc w:val="center"/>
                    <w:rPr>
                      <w:b/>
                      <w:sz w:val="18"/>
                      <w:szCs w:val="18"/>
                    </w:rPr>
                  </w:pPr>
                  <w:r w:rsidRPr="001F32D4">
                    <w:rPr>
                      <w:b/>
                      <w:sz w:val="18"/>
                      <w:szCs w:val="18"/>
                    </w:rPr>
                    <w:t>Costs and expenses</w:t>
                  </w:r>
                </w:p>
              </w:tc>
            </w:tr>
          </w:tbl>
          <w:p w:rsidRPr="001F32D4" w:rsidR="004B155D" w:rsidP="001F32D4" w:rsidRDefault="004B155D">
            <w:pPr>
              <w:jc w:val="center"/>
              <w:rPr>
                <w:color w:val="auto"/>
                <w:sz w:val="18"/>
                <w:szCs w:val="18"/>
              </w:rPr>
            </w:pPr>
          </w:p>
        </w:tc>
      </w:tr>
      <w:tr w:rsidRPr="001F32D4" w:rsidR="00FE3AD2" w:rsidTr="00AB3A18">
        <w:tc>
          <w:tcPr>
            <w:tcW w:w="555" w:type="dxa"/>
          </w:tcPr>
          <w:p w:rsidRPr="001F32D4" w:rsidR="00FE3AD2" w:rsidP="001F32D4" w:rsidRDefault="00FE3AD2">
            <w:pPr>
              <w:pStyle w:val="ListParagraph"/>
              <w:numPr>
                <w:ilvl w:val="0"/>
                <w:numId w:val="17"/>
              </w:numPr>
              <w:tabs>
                <w:tab w:val="num" w:pos="283"/>
              </w:tabs>
              <w:ind w:left="0" w:firstLine="0"/>
              <w:jc w:val="left"/>
              <w:rPr>
                <w:sz w:val="18"/>
                <w:szCs w:val="18"/>
              </w:rPr>
            </w:pPr>
          </w:p>
        </w:tc>
        <w:tc>
          <w:tcPr>
            <w:tcW w:w="1373" w:type="dxa"/>
          </w:tcPr>
          <w:p w:rsidRPr="001F32D4" w:rsidR="00FE3AD2" w:rsidP="001F32D4" w:rsidRDefault="00FE3AD2">
            <w:pPr>
              <w:jc w:val="left"/>
              <w:rPr>
                <w:sz w:val="18"/>
                <w:szCs w:val="18"/>
              </w:rPr>
            </w:pPr>
            <w:r w:rsidRPr="001F32D4">
              <w:rPr>
                <w:sz w:val="18"/>
                <w:szCs w:val="18"/>
              </w:rPr>
              <w:t>74087/10</w:t>
            </w:r>
          </w:p>
        </w:tc>
        <w:tc>
          <w:tcPr>
            <w:tcW w:w="1274" w:type="dxa"/>
          </w:tcPr>
          <w:p w:rsidRPr="001F32D4" w:rsidR="00FE3AD2" w:rsidP="001F32D4" w:rsidRDefault="00FE3AD2">
            <w:pPr>
              <w:jc w:val="left"/>
              <w:rPr>
                <w:sz w:val="18"/>
                <w:szCs w:val="18"/>
              </w:rPr>
            </w:pPr>
            <w:r w:rsidRPr="001F32D4">
              <w:rPr>
                <w:sz w:val="18"/>
                <w:szCs w:val="18"/>
              </w:rPr>
              <w:t>24/11/2010</w:t>
            </w:r>
          </w:p>
        </w:tc>
        <w:tc>
          <w:tcPr>
            <w:tcW w:w="2133" w:type="dxa"/>
          </w:tcPr>
          <w:p w:rsidRPr="001F32D4" w:rsidR="001143E3" w:rsidP="001F32D4" w:rsidRDefault="00FE3AD2">
            <w:pPr>
              <w:jc w:val="left"/>
              <w:rPr>
                <w:b/>
                <w:sz w:val="18"/>
                <w:szCs w:val="18"/>
              </w:rPr>
            </w:pPr>
            <w:r w:rsidRPr="001F32D4">
              <w:rPr>
                <w:b/>
                <w:sz w:val="18"/>
                <w:szCs w:val="18"/>
              </w:rPr>
              <w:t xml:space="preserve">Vladimir </w:t>
            </w:r>
            <w:proofErr w:type="spellStart"/>
            <w:r w:rsidRPr="001F32D4">
              <w:rPr>
                <w:b/>
                <w:sz w:val="18"/>
                <w:szCs w:val="18"/>
              </w:rPr>
              <w:t>Pimenovich</w:t>
            </w:r>
            <w:proofErr w:type="spellEnd"/>
            <w:r w:rsidRPr="001F32D4">
              <w:rPr>
                <w:b/>
                <w:sz w:val="18"/>
                <w:szCs w:val="18"/>
              </w:rPr>
              <w:t xml:space="preserve"> VOLOKITIN</w:t>
            </w:r>
          </w:p>
          <w:p w:rsidRPr="001F32D4" w:rsidR="00FE3AD2" w:rsidP="001F32D4" w:rsidRDefault="00FE3AD2">
            <w:pPr>
              <w:jc w:val="left"/>
              <w:rPr>
                <w:sz w:val="18"/>
                <w:szCs w:val="18"/>
              </w:rPr>
            </w:pPr>
            <w:r w:rsidRPr="001F32D4">
              <w:rPr>
                <w:sz w:val="18"/>
                <w:szCs w:val="18"/>
              </w:rPr>
              <w:t>15/08/1947</w:t>
            </w:r>
          </w:p>
          <w:p w:rsidRPr="001F32D4" w:rsidR="00FE3AD2" w:rsidP="001F32D4" w:rsidRDefault="00FE3AD2">
            <w:pPr>
              <w:jc w:val="left"/>
              <w:rPr>
                <w:sz w:val="18"/>
                <w:szCs w:val="18"/>
              </w:rPr>
            </w:pPr>
            <w:proofErr w:type="spellStart"/>
            <w:r w:rsidRPr="001F32D4">
              <w:rPr>
                <w:sz w:val="18"/>
                <w:szCs w:val="18"/>
              </w:rPr>
              <w:t>Novoaltaysk</w:t>
            </w:r>
            <w:proofErr w:type="spellEnd"/>
          </w:p>
          <w:p w:rsidRPr="001F32D4" w:rsidR="00FE3AD2" w:rsidP="001F32D4" w:rsidRDefault="00FE3AD2">
            <w:pPr>
              <w:jc w:val="left"/>
              <w:rPr>
                <w:sz w:val="18"/>
                <w:szCs w:val="18"/>
              </w:rPr>
            </w:pPr>
          </w:p>
        </w:tc>
        <w:tc>
          <w:tcPr>
            <w:tcW w:w="1300" w:type="dxa"/>
          </w:tcPr>
          <w:p w:rsidRPr="001F32D4" w:rsidR="00FE3AD2" w:rsidP="001F32D4" w:rsidRDefault="00FE3AD2">
            <w:pPr>
              <w:jc w:val="left"/>
              <w:rPr>
                <w:sz w:val="18"/>
                <w:szCs w:val="18"/>
              </w:rPr>
            </w:pPr>
            <w:r w:rsidRPr="001F32D4">
              <w:rPr>
                <w:sz w:val="18"/>
                <w:szCs w:val="18"/>
              </w:rPr>
              <w:t>SUR 2,000 (application form of 18/01/2011)</w:t>
            </w:r>
            <w:r w:rsidRPr="001F32D4">
              <w:rPr>
                <w:sz w:val="18"/>
                <w:szCs w:val="18"/>
              </w:rPr>
              <w:br/>
              <w:t>SUR 15,400 (submissions of 10/12/2013)</w:t>
            </w:r>
          </w:p>
        </w:tc>
        <w:tc>
          <w:tcPr>
            <w:tcW w:w="1701" w:type="dxa"/>
          </w:tcPr>
          <w:p w:rsidRPr="001F32D4" w:rsidR="00FE3AD2" w:rsidP="001F32D4" w:rsidRDefault="00FE3AD2">
            <w:pPr>
              <w:jc w:val="left"/>
              <w:rPr>
                <w:sz w:val="18"/>
                <w:szCs w:val="18"/>
              </w:rPr>
            </w:pPr>
            <w:r w:rsidRPr="001F32D4">
              <w:rPr>
                <w:sz w:val="18"/>
                <w:szCs w:val="18"/>
              </w:rPr>
              <w:t>No reply</w:t>
            </w:r>
            <w:r w:rsidRPr="001F32D4" w:rsidR="00E715AC">
              <w:rPr>
                <w:sz w:val="18"/>
                <w:szCs w:val="18"/>
              </w:rPr>
              <w:t>.</w:t>
            </w:r>
          </w:p>
        </w:tc>
        <w:tc>
          <w:tcPr>
            <w:tcW w:w="1418" w:type="dxa"/>
          </w:tcPr>
          <w:p w:rsidRPr="001F32D4" w:rsidR="00FE3AD2" w:rsidP="001F32D4" w:rsidRDefault="00FE3AD2">
            <w:pPr>
              <w:jc w:val="left"/>
              <w:rPr>
                <w:sz w:val="18"/>
                <w:szCs w:val="18"/>
              </w:rPr>
            </w:pPr>
            <w:r w:rsidRPr="001F32D4">
              <w:rPr>
                <w:sz w:val="18"/>
                <w:szCs w:val="18"/>
              </w:rPr>
              <w:t>EUR 10,000</w:t>
            </w:r>
          </w:p>
        </w:tc>
        <w:tc>
          <w:tcPr>
            <w:tcW w:w="1694" w:type="dxa"/>
          </w:tcPr>
          <w:p w:rsidRPr="001F32D4" w:rsidR="00FE3AD2" w:rsidP="001F32D4" w:rsidRDefault="00FE3AD2">
            <w:pPr>
              <w:jc w:val="left"/>
              <w:rPr>
                <w:sz w:val="18"/>
                <w:szCs w:val="18"/>
              </w:rPr>
            </w:pPr>
            <w:r w:rsidRPr="001F32D4">
              <w:rPr>
                <w:sz w:val="18"/>
                <w:szCs w:val="18"/>
              </w:rPr>
              <w:t>RUB 877,995.16</w:t>
            </w:r>
            <w:r w:rsidRPr="001F32D4" w:rsidR="007A2F79">
              <w:rPr>
                <w:sz w:val="18"/>
                <w:szCs w:val="18"/>
              </w:rPr>
              <w:br/>
              <w:t>[EUR 12,</w:t>
            </w:r>
            <w:r w:rsidRPr="001F32D4" w:rsidR="00F20454">
              <w:rPr>
                <w:sz w:val="18"/>
                <w:szCs w:val="18"/>
              </w:rPr>
              <w:t>540</w:t>
            </w:r>
            <w:r w:rsidRPr="001F32D4" w:rsidR="007A2F79">
              <w:rPr>
                <w:sz w:val="18"/>
                <w:szCs w:val="18"/>
              </w:rPr>
              <w:t>]</w:t>
            </w:r>
          </w:p>
        </w:tc>
        <w:tc>
          <w:tcPr>
            <w:tcW w:w="1058" w:type="dxa"/>
          </w:tcPr>
          <w:p w:rsidRPr="001F32D4" w:rsidR="00FE3AD2" w:rsidP="001F32D4" w:rsidRDefault="00AE64E7">
            <w:pPr>
              <w:jc w:val="left"/>
              <w:rPr>
                <w:sz w:val="18"/>
                <w:szCs w:val="18"/>
              </w:rPr>
            </w:pPr>
            <w:r w:rsidRPr="001F32D4">
              <w:rPr>
                <w:sz w:val="18"/>
                <w:szCs w:val="18"/>
              </w:rPr>
              <w:t>Not claimed.</w:t>
            </w:r>
          </w:p>
        </w:tc>
      </w:tr>
      <w:tr w:rsidRPr="001F32D4" w:rsidR="00FE3AD2" w:rsidTr="00AB3A18">
        <w:tc>
          <w:tcPr>
            <w:tcW w:w="555" w:type="dxa"/>
          </w:tcPr>
          <w:p w:rsidRPr="001F32D4" w:rsidR="00FE3AD2" w:rsidP="001F32D4" w:rsidRDefault="00FE3AD2">
            <w:pPr>
              <w:pStyle w:val="ListParagraph"/>
              <w:numPr>
                <w:ilvl w:val="0"/>
                <w:numId w:val="17"/>
              </w:numPr>
              <w:tabs>
                <w:tab w:val="num" w:pos="283"/>
              </w:tabs>
              <w:ind w:left="0" w:firstLine="0"/>
              <w:jc w:val="left"/>
              <w:rPr>
                <w:sz w:val="18"/>
                <w:szCs w:val="18"/>
              </w:rPr>
            </w:pPr>
          </w:p>
        </w:tc>
        <w:tc>
          <w:tcPr>
            <w:tcW w:w="1373" w:type="dxa"/>
          </w:tcPr>
          <w:p w:rsidRPr="001F32D4" w:rsidR="00FE3AD2" w:rsidP="001F32D4" w:rsidRDefault="00FE3AD2">
            <w:pPr>
              <w:jc w:val="left"/>
              <w:rPr>
                <w:sz w:val="18"/>
                <w:szCs w:val="18"/>
              </w:rPr>
            </w:pPr>
            <w:r w:rsidRPr="001F32D4">
              <w:rPr>
                <w:sz w:val="18"/>
                <w:szCs w:val="18"/>
              </w:rPr>
              <w:t>15410/11</w:t>
            </w:r>
          </w:p>
        </w:tc>
        <w:tc>
          <w:tcPr>
            <w:tcW w:w="1274" w:type="dxa"/>
          </w:tcPr>
          <w:p w:rsidRPr="001F32D4" w:rsidR="00FE3AD2" w:rsidP="001F32D4" w:rsidRDefault="00FE3AD2">
            <w:pPr>
              <w:jc w:val="left"/>
              <w:rPr>
                <w:sz w:val="18"/>
                <w:szCs w:val="18"/>
              </w:rPr>
            </w:pPr>
            <w:r w:rsidRPr="001F32D4">
              <w:rPr>
                <w:sz w:val="18"/>
                <w:szCs w:val="18"/>
              </w:rPr>
              <w:t>14/02/2011</w:t>
            </w:r>
          </w:p>
        </w:tc>
        <w:tc>
          <w:tcPr>
            <w:tcW w:w="2133" w:type="dxa"/>
          </w:tcPr>
          <w:p w:rsidRPr="001F32D4" w:rsidR="001143E3" w:rsidP="001F32D4" w:rsidRDefault="00FE3AD2">
            <w:pPr>
              <w:jc w:val="left"/>
              <w:rPr>
                <w:b/>
                <w:sz w:val="18"/>
                <w:szCs w:val="18"/>
              </w:rPr>
            </w:pPr>
            <w:r w:rsidRPr="001F32D4">
              <w:rPr>
                <w:b/>
                <w:sz w:val="18"/>
                <w:szCs w:val="18"/>
              </w:rPr>
              <w:t xml:space="preserve">Svetlana </w:t>
            </w:r>
            <w:proofErr w:type="spellStart"/>
            <w:r w:rsidRPr="001F32D4">
              <w:rPr>
                <w:b/>
                <w:sz w:val="18"/>
                <w:szCs w:val="18"/>
              </w:rPr>
              <w:t>Fedorovna</w:t>
            </w:r>
            <w:proofErr w:type="spellEnd"/>
            <w:r w:rsidRPr="001F32D4">
              <w:rPr>
                <w:b/>
                <w:sz w:val="18"/>
                <w:szCs w:val="18"/>
              </w:rPr>
              <w:t xml:space="preserve"> ALEKSEYEVA</w:t>
            </w:r>
          </w:p>
          <w:p w:rsidRPr="001F32D4" w:rsidR="00FE3AD2" w:rsidP="001F32D4" w:rsidRDefault="00FE3AD2">
            <w:pPr>
              <w:jc w:val="left"/>
              <w:rPr>
                <w:sz w:val="18"/>
                <w:szCs w:val="18"/>
              </w:rPr>
            </w:pPr>
            <w:r w:rsidRPr="001F32D4">
              <w:rPr>
                <w:sz w:val="18"/>
                <w:szCs w:val="18"/>
              </w:rPr>
              <w:t>08/02/1959</w:t>
            </w:r>
          </w:p>
          <w:p w:rsidRPr="001F32D4" w:rsidR="00FE3AD2" w:rsidP="001F32D4" w:rsidRDefault="00FE3AD2">
            <w:pPr>
              <w:jc w:val="left"/>
              <w:rPr>
                <w:sz w:val="18"/>
                <w:szCs w:val="18"/>
              </w:rPr>
            </w:pPr>
            <w:proofErr w:type="spellStart"/>
            <w:r w:rsidRPr="001F32D4">
              <w:rPr>
                <w:sz w:val="18"/>
                <w:szCs w:val="18"/>
              </w:rPr>
              <w:t>Novoaltaysk</w:t>
            </w:r>
            <w:proofErr w:type="spellEnd"/>
          </w:p>
          <w:p w:rsidRPr="001F32D4" w:rsidR="00FE3AD2" w:rsidP="001F32D4" w:rsidRDefault="00FE3AD2">
            <w:pPr>
              <w:jc w:val="left"/>
              <w:rPr>
                <w:sz w:val="18"/>
                <w:szCs w:val="18"/>
              </w:rPr>
            </w:pPr>
          </w:p>
        </w:tc>
        <w:tc>
          <w:tcPr>
            <w:tcW w:w="1300" w:type="dxa"/>
          </w:tcPr>
          <w:p w:rsidRPr="001F32D4" w:rsidR="00FE3AD2" w:rsidP="001F32D4" w:rsidRDefault="00FE3AD2">
            <w:pPr>
              <w:jc w:val="left"/>
              <w:rPr>
                <w:sz w:val="18"/>
                <w:szCs w:val="18"/>
              </w:rPr>
            </w:pPr>
            <w:r w:rsidRPr="001F32D4">
              <w:rPr>
                <w:sz w:val="18"/>
                <w:szCs w:val="18"/>
              </w:rPr>
              <w:t>SUR 198,400</w:t>
            </w:r>
          </w:p>
        </w:tc>
        <w:tc>
          <w:tcPr>
            <w:tcW w:w="1701" w:type="dxa"/>
          </w:tcPr>
          <w:p w:rsidRPr="001F32D4" w:rsidR="00FE3AD2" w:rsidP="001F32D4" w:rsidRDefault="00FE3AD2">
            <w:pPr>
              <w:jc w:val="left"/>
              <w:rPr>
                <w:sz w:val="18"/>
                <w:szCs w:val="18"/>
              </w:rPr>
            </w:pPr>
            <w:r w:rsidRPr="001F32D4">
              <w:rPr>
                <w:sz w:val="18"/>
                <w:szCs w:val="18"/>
              </w:rPr>
              <w:t>Purchased between 1985 and 1990.</w:t>
            </w:r>
          </w:p>
        </w:tc>
        <w:tc>
          <w:tcPr>
            <w:tcW w:w="1418" w:type="dxa"/>
          </w:tcPr>
          <w:p w:rsidRPr="001F32D4" w:rsidR="00FE3AD2" w:rsidP="001F32D4" w:rsidRDefault="00FE3AD2">
            <w:pPr>
              <w:jc w:val="left"/>
              <w:rPr>
                <w:sz w:val="18"/>
                <w:szCs w:val="18"/>
              </w:rPr>
            </w:pPr>
            <w:r w:rsidRPr="001F32D4">
              <w:rPr>
                <w:sz w:val="18"/>
                <w:szCs w:val="18"/>
              </w:rPr>
              <w:t>EUR 10,000</w:t>
            </w:r>
          </w:p>
        </w:tc>
        <w:tc>
          <w:tcPr>
            <w:tcW w:w="1694" w:type="dxa"/>
          </w:tcPr>
          <w:p w:rsidRPr="001F32D4" w:rsidR="00FE3AD2" w:rsidP="001F32D4" w:rsidRDefault="00FE3AD2">
            <w:pPr>
              <w:jc w:val="left"/>
              <w:rPr>
                <w:sz w:val="18"/>
                <w:szCs w:val="18"/>
              </w:rPr>
            </w:pPr>
            <w:r w:rsidRPr="001F32D4">
              <w:rPr>
                <w:sz w:val="18"/>
                <w:szCs w:val="18"/>
              </w:rPr>
              <w:t>EUR 1,077,154.74</w:t>
            </w:r>
          </w:p>
        </w:tc>
        <w:tc>
          <w:tcPr>
            <w:tcW w:w="1058" w:type="dxa"/>
          </w:tcPr>
          <w:p w:rsidRPr="001F32D4" w:rsidR="00FE3AD2" w:rsidP="001F32D4" w:rsidRDefault="00FE3AD2">
            <w:pPr>
              <w:jc w:val="left"/>
              <w:rPr>
                <w:sz w:val="18"/>
                <w:szCs w:val="18"/>
              </w:rPr>
            </w:pPr>
            <w:r w:rsidRPr="001F32D4">
              <w:rPr>
                <w:sz w:val="18"/>
                <w:szCs w:val="18"/>
              </w:rPr>
              <w:t>EUR 860.25</w:t>
            </w:r>
          </w:p>
        </w:tc>
      </w:tr>
      <w:tr w:rsidRPr="001F32D4" w:rsidR="00F56D0D" w:rsidTr="00AB3A18">
        <w:trPr>
          <w:trHeight w:val="737"/>
        </w:trPr>
        <w:tc>
          <w:tcPr>
            <w:tcW w:w="555" w:type="dxa"/>
            <w:vMerge w:val="restart"/>
          </w:tcPr>
          <w:p w:rsidRPr="001F32D4" w:rsidR="00F56D0D" w:rsidP="001F32D4" w:rsidRDefault="00F56D0D">
            <w:pPr>
              <w:pStyle w:val="ListParagraph"/>
              <w:numPr>
                <w:ilvl w:val="0"/>
                <w:numId w:val="17"/>
              </w:numPr>
              <w:tabs>
                <w:tab w:val="num" w:pos="283"/>
              </w:tabs>
              <w:ind w:left="0" w:firstLine="0"/>
              <w:jc w:val="left"/>
              <w:rPr>
                <w:sz w:val="18"/>
                <w:szCs w:val="18"/>
              </w:rPr>
            </w:pPr>
          </w:p>
        </w:tc>
        <w:tc>
          <w:tcPr>
            <w:tcW w:w="1373" w:type="dxa"/>
            <w:vMerge w:val="restart"/>
          </w:tcPr>
          <w:p w:rsidRPr="001F32D4" w:rsidR="00F56D0D" w:rsidP="001F32D4" w:rsidRDefault="00F56D0D">
            <w:pPr>
              <w:jc w:val="left"/>
              <w:rPr>
                <w:sz w:val="18"/>
                <w:szCs w:val="18"/>
              </w:rPr>
            </w:pPr>
            <w:r w:rsidRPr="001F32D4">
              <w:rPr>
                <w:sz w:val="18"/>
                <w:szCs w:val="18"/>
              </w:rPr>
              <w:t>72789/12</w:t>
            </w:r>
          </w:p>
        </w:tc>
        <w:tc>
          <w:tcPr>
            <w:tcW w:w="1274" w:type="dxa"/>
            <w:vMerge w:val="restart"/>
          </w:tcPr>
          <w:p w:rsidRPr="001F32D4" w:rsidR="00F56D0D" w:rsidP="001F32D4" w:rsidRDefault="00F56D0D">
            <w:pPr>
              <w:jc w:val="left"/>
              <w:rPr>
                <w:sz w:val="18"/>
                <w:szCs w:val="18"/>
              </w:rPr>
            </w:pPr>
            <w:r w:rsidRPr="001F32D4">
              <w:rPr>
                <w:sz w:val="18"/>
                <w:szCs w:val="18"/>
              </w:rPr>
              <w:t>24/09/2012</w:t>
            </w:r>
          </w:p>
        </w:tc>
        <w:tc>
          <w:tcPr>
            <w:tcW w:w="2133" w:type="dxa"/>
          </w:tcPr>
          <w:p w:rsidRPr="001F32D4" w:rsidR="001143E3" w:rsidP="001F32D4" w:rsidRDefault="00F56D0D">
            <w:pPr>
              <w:jc w:val="left"/>
              <w:rPr>
                <w:b/>
                <w:sz w:val="18"/>
                <w:szCs w:val="18"/>
              </w:rPr>
            </w:pPr>
            <w:proofErr w:type="spellStart"/>
            <w:r w:rsidRPr="001F32D4">
              <w:rPr>
                <w:b/>
                <w:sz w:val="18"/>
                <w:szCs w:val="18"/>
              </w:rPr>
              <w:t>Gennadiy</w:t>
            </w:r>
            <w:proofErr w:type="spellEnd"/>
            <w:r w:rsidRPr="001F32D4">
              <w:rPr>
                <w:b/>
                <w:sz w:val="18"/>
                <w:szCs w:val="18"/>
              </w:rPr>
              <w:t xml:space="preserve"> </w:t>
            </w:r>
            <w:proofErr w:type="spellStart"/>
            <w:r w:rsidRPr="001F32D4">
              <w:rPr>
                <w:b/>
                <w:sz w:val="18"/>
                <w:szCs w:val="18"/>
              </w:rPr>
              <w:t>Fedorovich</w:t>
            </w:r>
            <w:proofErr w:type="spellEnd"/>
            <w:r w:rsidRPr="001F32D4">
              <w:rPr>
                <w:b/>
                <w:sz w:val="18"/>
                <w:szCs w:val="18"/>
              </w:rPr>
              <w:t xml:space="preserve"> LOSYAKOV</w:t>
            </w:r>
          </w:p>
          <w:p w:rsidRPr="001F32D4" w:rsidR="00F56D0D" w:rsidP="001F32D4" w:rsidRDefault="00F56D0D">
            <w:pPr>
              <w:jc w:val="left"/>
              <w:rPr>
                <w:sz w:val="18"/>
                <w:szCs w:val="18"/>
              </w:rPr>
            </w:pPr>
            <w:r w:rsidRPr="001F32D4">
              <w:rPr>
                <w:sz w:val="18"/>
                <w:szCs w:val="18"/>
              </w:rPr>
              <w:t>03/01/1935</w:t>
            </w:r>
          </w:p>
          <w:p w:rsidRPr="001F32D4" w:rsidR="00F56D0D" w:rsidP="001F32D4" w:rsidRDefault="00F56D0D">
            <w:pPr>
              <w:jc w:val="left"/>
              <w:rPr>
                <w:sz w:val="18"/>
                <w:szCs w:val="18"/>
              </w:rPr>
            </w:pPr>
            <w:r w:rsidRPr="001F32D4">
              <w:rPr>
                <w:sz w:val="18"/>
                <w:szCs w:val="18"/>
              </w:rPr>
              <w:t>Moscow Region</w:t>
            </w:r>
          </w:p>
          <w:p w:rsidRPr="001F32D4" w:rsidR="00F56D0D" w:rsidP="001F32D4" w:rsidRDefault="00F56D0D">
            <w:pPr>
              <w:jc w:val="left"/>
              <w:rPr>
                <w:sz w:val="18"/>
                <w:szCs w:val="18"/>
              </w:rPr>
            </w:pPr>
          </w:p>
        </w:tc>
        <w:tc>
          <w:tcPr>
            <w:tcW w:w="1300" w:type="dxa"/>
            <w:vMerge w:val="restart"/>
            <w:vAlign w:val="center"/>
          </w:tcPr>
          <w:p w:rsidRPr="001F32D4" w:rsidR="00F56D0D" w:rsidP="001F32D4" w:rsidRDefault="00F56D0D">
            <w:pPr>
              <w:jc w:val="left"/>
              <w:rPr>
                <w:sz w:val="18"/>
                <w:szCs w:val="18"/>
              </w:rPr>
            </w:pPr>
            <w:r w:rsidRPr="001F32D4">
              <w:rPr>
                <w:sz w:val="18"/>
                <w:szCs w:val="18"/>
              </w:rPr>
              <w:t xml:space="preserve">SUR 212,675 </w:t>
            </w:r>
          </w:p>
        </w:tc>
        <w:tc>
          <w:tcPr>
            <w:tcW w:w="1701" w:type="dxa"/>
          </w:tcPr>
          <w:p w:rsidRPr="001F32D4" w:rsidR="00F56D0D" w:rsidP="001F32D4" w:rsidRDefault="00F56D0D">
            <w:pPr>
              <w:jc w:val="left"/>
              <w:rPr>
                <w:sz w:val="18"/>
                <w:szCs w:val="18"/>
              </w:rPr>
            </w:pPr>
            <w:r w:rsidRPr="001F32D4">
              <w:rPr>
                <w:sz w:val="18"/>
                <w:szCs w:val="18"/>
              </w:rPr>
              <w:t>No reply.</w:t>
            </w:r>
          </w:p>
        </w:tc>
        <w:tc>
          <w:tcPr>
            <w:tcW w:w="1418" w:type="dxa"/>
          </w:tcPr>
          <w:p w:rsidRPr="001F32D4" w:rsidR="00F56D0D" w:rsidP="001F32D4" w:rsidRDefault="00F56D0D">
            <w:pPr>
              <w:jc w:val="left"/>
              <w:rPr>
                <w:sz w:val="18"/>
                <w:szCs w:val="18"/>
              </w:rPr>
            </w:pPr>
            <w:r w:rsidRPr="001F32D4">
              <w:rPr>
                <w:sz w:val="18"/>
                <w:szCs w:val="18"/>
              </w:rPr>
              <w:t>EUR 1,800</w:t>
            </w:r>
          </w:p>
        </w:tc>
        <w:tc>
          <w:tcPr>
            <w:tcW w:w="1694" w:type="dxa"/>
          </w:tcPr>
          <w:p w:rsidRPr="001F32D4" w:rsidR="00F56D0D" w:rsidP="001F32D4" w:rsidRDefault="00F56D0D">
            <w:pPr>
              <w:jc w:val="left"/>
              <w:rPr>
                <w:sz w:val="18"/>
                <w:szCs w:val="18"/>
              </w:rPr>
            </w:pPr>
            <w:r w:rsidRPr="001F32D4">
              <w:rPr>
                <w:sz w:val="18"/>
                <w:szCs w:val="18"/>
              </w:rPr>
              <w:t xml:space="preserve">EUR 567,842 </w:t>
            </w:r>
          </w:p>
        </w:tc>
        <w:tc>
          <w:tcPr>
            <w:tcW w:w="1058" w:type="dxa"/>
          </w:tcPr>
          <w:p w:rsidRPr="001F32D4" w:rsidR="00F56D0D" w:rsidP="001F32D4" w:rsidRDefault="00AE64E7">
            <w:pPr>
              <w:jc w:val="left"/>
              <w:rPr>
                <w:sz w:val="18"/>
                <w:szCs w:val="18"/>
              </w:rPr>
            </w:pPr>
            <w:r w:rsidRPr="001F32D4">
              <w:rPr>
                <w:sz w:val="18"/>
                <w:szCs w:val="18"/>
              </w:rPr>
              <w:t>Not claimed.</w:t>
            </w:r>
          </w:p>
        </w:tc>
      </w:tr>
      <w:tr w:rsidRPr="001F32D4" w:rsidR="00F56D0D" w:rsidTr="000015AC">
        <w:trPr>
          <w:trHeight w:val="737"/>
        </w:trPr>
        <w:tc>
          <w:tcPr>
            <w:tcW w:w="555" w:type="dxa"/>
            <w:vMerge/>
          </w:tcPr>
          <w:p w:rsidRPr="001F32D4" w:rsidR="00F56D0D" w:rsidP="001F32D4" w:rsidRDefault="00F56D0D">
            <w:pPr>
              <w:pStyle w:val="ListParagraph"/>
              <w:numPr>
                <w:ilvl w:val="0"/>
                <w:numId w:val="17"/>
              </w:numPr>
              <w:tabs>
                <w:tab w:val="num" w:pos="283"/>
              </w:tabs>
              <w:ind w:left="0" w:firstLine="0"/>
              <w:jc w:val="left"/>
              <w:rPr>
                <w:sz w:val="18"/>
                <w:szCs w:val="18"/>
              </w:rPr>
            </w:pPr>
          </w:p>
        </w:tc>
        <w:tc>
          <w:tcPr>
            <w:tcW w:w="1373" w:type="dxa"/>
            <w:vMerge/>
          </w:tcPr>
          <w:p w:rsidRPr="001F32D4" w:rsidR="00F56D0D" w:rsidP="001F32D4" w:rsidRDefault="00F56D0D">
            <w:pPr>
              <w:jc w:val="left"/>
              <w:rPr>
                <w:sz w:val="18"/>
                <w:szCs w:val="18"/>
              </w:rPr>
            </w:pPr>
          </w:p>
        </w:tc>
        <w:tc>
          <w:tcPr>
            <w:tcW w:w="1274" w:type="dxa"/>
            <w:vMerge/>
          </w:tcPr>
          <w:p w:rsidRPr="001F32D4" w:rsidR="00F56D0D" w:rsidP="001F32D4" w:rsidRDefault="00F56D0D">
            <w:pPr>
              <w:jc w:val="left"/>
              <w:rPr>
                <w:sz w:val="18"/>
                <w:szCs w:val="18"/>
              </w:rPr>
            </w:pPr>
          </w:p>
        </w:tc>
        <w:tc>
          <w:tcPr>
            <w:tcW w:w="2133" w:type="dxa"/>
          </w:tcPr>
          <w:p w:rsidRPr="001F32D4" w:rsidR="00F56D0D" w:rsidP="001F32D4" w:rsidRDefault="00F56D0D">
            <w:pPr>
              <w:jc w:val="left"/>
              <w:rPr>
                <w:b/>
                <w:sz w:val="18"/>
                <w:szCs w:val="18"/>
              </w:rPr>
            </w:pPr>
            <w:r w:rsidRPr="001F32D4">
              <w:rPr>
                <w:b/>
                <w:sz w:val="18"/>
                <w:szCs w:val="18"/>
              </w:rPr>
              <w:t xml:space="preserve">Nina </w:t>
            </w:r>
            <w:proofErr w:type="spellStart"/>
            <w:r w:rsidRPr="001F32D4">
              <w:rPr>
                <w:b/>
                <w:sz w:val="18"/>
                <w:szCs w:val="18"/>
              </w:rPr>
              <w:t>Fedorovna</w:t>
            </w:r>
            <w:proofErr w:type="spellEnd"/>
            <w:r w:rsidRPr="001F32D4">
              <w:rPr>
                <w:b/>
                <w:sz w:val="18"/>
                <w:szCs w:val="18"/>
              </w:rPr>
              <w:t xml:space="preserve"> LOSYAKOVA</w:t>
            </w:r>
          </w:p>
          <w:p w:rsidRPr="001F32D4" w:rsidR="00F56D0D" w:rsidP="001F32D4" w:rsidRDefault="00F56D0D">
            <w:pPr>
              <w:jc w:val="left"/>
              <w:rPr>
                <w:sz w:val="18"/>
                <w:szCs w:val="18"/>
              </w:rPr>
            </w:pPr>
            <w:r w:rsidRPr="001F32D4">
              <w:rPr>
                <w:sz w:val="18"/>
                <w:szCs w:val="18"/>
              </w:rPr>
              <w:t>31/05/1953</w:t>
            </w:r>
          </w:p>
          <w:p w:rsidRPr="001F32D4" w:rsidR="00F56D0D" w:rsidP="001F32D4" w:rsidRDefault="00F56D0D">
            <w:pPr>
              <w:jc w:val="left"/>
              <w:rPr>
                <w:sz w:val="18"/>
                <w:szCs w:val="18"/>
              </w:rPr>
            </w:pPr>
            <w:proofErr w:type="spellStart"/>
            <w:r w:rsidRPr="001F32D4">
              <w:rPr>
                <w:sz w:val="18"/>
                <w:szCs w:val="18"/>
              </w:rPr>
              <w:t>Arzamas</w:t>
            </w:r>
            <w:proofErr w:type="spellEnd"/>
          </w:p>
          <w:p w:rsidRPr="001F32D4" w:rsidR="00F56D0D" w:rsidP="001F32D4" w:rsidRDefault="00F56D0D">
            <w:pPr>
              <w:jc w:val="left"/>
              <w:rPr>
                <w:b/>
                <w:sz w:val="18"/>
                <w:szCs w:val="18"/>
              </w:rPr>
            </w:pPr>
          </w:p>
        </w:tc>
        <w:tc>
          <w:tcPr>
            <w:tcW w:w="1300" w:type="dxa"/>
            <w:vMerge/>
          </w:tcPr>
          <w:p w:rsidRPr="001F32D4" w:rsidR="00F56D0D" w:rsidP="001F32D4" w:rsidRDefault="00F56D0D">
            <w:pPr>
              <w:jc w:val="left"/>
              <w:rPr>
                <w:sz w:val="18"/>
                <w:szCs w:val="18"/>
              </w:rPr>
            </w:pPr>
          </w:p>
        </w:tc>
        <w:tc>
          <w:tcPr>
            <w:tcW w:w="1701" w:type="dxa"/>
          </w:tcPr>
          <w:p w:rsidRPr="001F32D4" w:rsidR="00F56D0D" w:rsidP="001F32D4" w:rsidRDefault="00F56D0D">
            <w:pPr>
              <w:jc w:val="left"/>
              <w:rPr>
                <w:sz w:val="18"/>
                <w:szCs w:val="18"/>
              </w:rPr>
            </w:pPr>
            <w:r w:rsidRPr="001F32D4">
              <w:rPr>
                <w:sz w:val="18"/>
                <w:szCs w:val="18"/>
              </w:rPr>
              <w:t>No reply.</w:t>
            </w:r>
          </w:p>
        </w:tc>
        <w:tc>
          <w:tcPr>
            <w:tcW w:w="4170" w:type="dxa"/>
            <w:gridSpan w:val="3"/>
          </w:tcPr>
          <w:p w:rsidRPr="001F32D4" w:rsidR="00F56D0D" w:rsidP="001F32D4" w:rsidRDefault="00F56D0D">
            <w:pPr>
              <w:jc w:val="left"/>
              <w:rPr>
                <w:sz w:val="18"/>
                <w:szCs w:val="18"/>
              </w:rPr>
            </w:pPr>
            <w:r w:rsidRPr="001F32D4">
              <w:rPr>
                <w:sz w:val="18"/>
                <w:szCs w:val="18"/>
              </w:rPr>
              <w:t>Claims not submitted within the time-limit.</w:t>
            </w:r>
          </w:p>
        </w:tc>
      </w:tr>
      <w:tr w:rsidRPr="001F32D4" w:rsidR="00F56D0D" w:rsidTr="000015AC">
        <w:tc>
          <w:tcPr>
            <w:tcW w:w="555" w:type="dxa"/>
          </w:tcPr>
          <w:p w:rsidRPr="001F32D4" w:rsidR="00F56D0D" w:rsidP="001F32D4" w:rsidRDefault="00F56D0D">
            <w:pPr>
              <w:pStyle w:val="ListParagraph"/>
              <w:keepLines/>
              <w:pageBreakBefore/>
              <w:numPr>
                <w:ilvl w:val="0"/>
                <w:numId w:val="17"/>
              </w:numPr>
              <w:tabs>
                <w:tab w:val="num" w:pos="283"/>
              </w:tabs>
              <w:ind w:left="0" w:firstLine="0"/>
              <w:jc w:val="left"/>
              <w:rPr>
                <w:sz w:val="18"/>
                <w:szCs w:val="18"/>
              </w:rPr>
            </w:pPr>
          </w:p>
        </w:tc>
        <w:tc>
          <w:tcPr>
            <w:tcW w:w="1373" w:type="dxa"/>
          </w:tcPr>
          <w:p w:rsidRPr="001F32D4" w:rsidR="00F56D0D" w:rsidP="001F32D4" w:rsidRDefault="00F56D0D">
            <w:pPr>
              <w:keepLines/>
              <w:pageBreakBefore/>
              <w:jc w:val="left"/>
              <w:rPr>
                <w:sz w:val="18"/>
                <w:szCs w:val="18"/>
              </w:rPr>
            </w:pPr>
            <w:r w:rsidRPr="001F32D4">
              <w:rPr>
                <w:sz w:val="18"/>
                <w:szCs w:val="18"/>
              </w:rPr>
              <w:t>5359/13</w:t>
            </w:r>
          </w:p>
        </w:tc>
        <w:tc>
          <w:tcPr>
            <w:tcW w:w="1274" w:type="dxa"/>
          </w:tcPr>
          <w:p w:rsidRPr="001F32D4" w:rsidR="00F56D0D" w:rsidP="001F32D4" w:rsidRDefault="00F56D0D">
            <w:pPr>
              <w:keepLines/>
              <w:pageBreakBefore/>
              <w:jc w:val="left"/>
              <w:rPr>
                <w:sz w:val="18"/>
                <w:szCs w:val="18"/>
              </w:rPr>
            </w:pPr>
            <w:r w:rsidRPr="001F32D4">
              <w:rPr>
                <w:sz w:val="18"/>
                <w:szCs w:val="18"/>
              </w:rPr>
              <w:t>28/12/2012</w:t>
            </w:r>
          </w:p>
        </w:tc>
        <w:tc>
          <w:tcPr>
            <w:tcW w:w="2133" w:type="dxa"/>
          </w:tcPr>
          <w:p w:rsidRPr="001F32D4" w:rsidR="00F56D0D" w:rsidP="001F32D4" w:rsidRDefault="00F56D0D">
            <w:pPr>
              <w:keepLines/>
              <w:pageBreakBefore/>
              <w:jc w:val="left"/>
              <w:rPr>
                <w:b/>
                <w:sz w:val="18"/>
                <w:szCs w:val="18"/>
              </w:rPr>
            </w:pPr>
            <w:proofErr w:type="spellStart"/>
            <w:r w:rsidRPr="001F32D4">
              <w:rPr>
                <w:b/>
                <w:sz w:val="18"/>
                <w:szCs w:val="18"/>
              </w:rPr>
              <w:t>Israfil</w:t>
            </w:r>
            <w:proofErr w:type="spellEnd"/>
            <w:r w:rsidRPr="001F32D4">
              <w:rPr>
                <w:b/>
                <w:sz w:val="18"/>
                <w:szCs w:val="18"/>
              </w:rPr>
              <w:t xml:space="preserve"> </w:t>
            </w:r>
            <w:proofErr w:type="spellStart"/>
            <w:r w:rsidRPr="001F32D4">
              <w:rPr>
                <w:b/>
                <w:sz w:val="18"/>
                <w:szCs w:val="18"/>
              </w:rPr>
              <w:t>Mukailovich</w:t>
            </w:r>
            <w:proofErr w:type="spellEnd"/>
            <w:r w:rsidRPr="001F32D4">
              <w:rPr>
                <w:b/>
                <w:sz w:val="18"/>
                <w:szCs w:val="18"/>
              </w:rPr>
              <w:t xml:space="preserve"> ISRAFILOV</w:t>
            </w:r>
          </w:p>
          <w:p w:rsidRPr="001F32D4" w:rsidR="00F56D0D" w:rsidP="001F32D4" w:rsidRDefault="00F56D0D">
            <w:pPr>
              <w:keepLines/>
              <w:pageBreakBefore/>
              <w:jc w:val="left"/>
              <w:rPr>
                <w:sz w:val="18"/>
                <w:szCs w:val="18"/>
              </w:rPr>
            </w:pPr>
            <w:r w:rsidRPr="001F32D4">
              <w:rPr>
                <w:sz w:val="18"/>
                <w:szCs w:val="18"/>
              </w:rPr>
              <w:t>20/06/1961</w:t>
            </w:r>
          </w:p>
          <w:p w:rsidRPr="001F32D4" w:rsidR="00F56D0D" w:rsidP="001F32D4" w:rsidRDefault="00F56D0D">
            <w:pPr>
              <w:keepLines/>
              <w:pageBreakBefore/>
              <w:jc w:val="left"/>
              <w:rPr>
                <w:sz w:val="18"/>
                <w:szCs w:val="18"/>
              </w:rPr>
            </w:pPr>
            <w:r w:rsidRPr="001F32D4">
              <w:rPr>
                <w:sz w:val="18"/>
                <w:szCs w:val="18"/>
              </w:rPr>
              <w:t>Makhachkala</w:t>
            </w:r>
          </w:p>
          <w:p w:rsidRPr="001F32D4" w:rsidR="00F56D0D" w:rsidP="001F32D4" w:rsidRDefault="00F56D0D">
            <w:pPr>
              <w:keepLines/>
              <w:pageBreakBefore/>
              <w:jc w:val="left"/>
              <w:rPr>
                <w:sz w:val="18"/>
                <w:szCs w:val="18"/>
              </w:rPr>
            </w:pPr>
          </w:p>
        </w:tc>
        <w:tc>
          <w:tcPr>
            <w:tcW w:w="1300" w:type="dxa"/>
          </w:tcPr>
          <w:p w:rsidRPr="001F32D4" w:rsidR="00F56D0D" w:rsidP="001F32D4" w:rsidRDefault="00F56D0D">
            <w:pPr>
              <w:keepLines/>
              <w:pageBreakBefore/>
              <w:jc w:val="left"/>
              <w:rPr>
                <w:sz w:val="18"/>
                <w:szCs w:val="18"/>
              </w:rPr>
            </w:pPr>
            <w:r w:rsidRPr="001F32D4">
              <w:rPr>
                <w:sz w:val="18"/>
                <w:szCs w:val="18"/>
              </w:rPr>
              <w:t>SUR 5,200</w:t>
            </w:r>
          </w:p>
        </w:tc>
        <w:tc>
          <w:tcPr>
            <w:tcW w:w="1701" w:type="dxa"/>
          </w:tcPr>
          <w:p w:rsidRPr="001F32D4" w:rsidR="00F56D0D" w:rsidP="001F32D4" w:rsidRDefault="00F56D0D">
            <w:pPr>
              <w:keepLines/>
              <w:pageBreakBefore/>
              <w:jc w:val="left"/>
              <w:rPr>
                <w:sz w:val="18"/>
                <w:szCs w:val="18"/>
              </w:rPr>
            </w:pPr>
            <w:r w:rsidRPr="001F32D4">
              <w:rPr>
                <w:sz w:val="18"/>
                <w:szCs w:val="18"/>
              </w:rPr>
              <w:t>Purchased from the Savings Bank between 1983 and 1985.</w:t>
            </w:r>
          </w:p>
        </w:tc>
        <w:tc>
          <w:tcPr>
            <w:tcW w:w="4170" w:type="dxa"/>
            <w:gridSpan w:val="3"/>
          </w:tcPr>
          <w:p w:rsidRPr="001F32D4" w:rsidR="00F56D0D" w:rsidP="001F32D4" w:rsidRDefault="00F56D0D">
            <w:pPr>
              <w:keepLines/>
              <w:pageBreakBefore/>
              <w:jc w:val="left"/>
              <w:rPr>
                <w:sz w:val="18"/>
                <w:szCs w:val="18"/>
              </w:rPr>
            </w:pPr>
            <w:r w:rsidRPr="001F32D4">
              <w:rPr>
                <w:sz w:val="18"/>
                <w:szCs w:val="18"/>
              </w:rPr>
              <w:t>Claims not submitted within the time-limit.</w:t>
            </w:r>
          </w:p>
        </w:tc>
      </w:tr>
      <w:tr w:rsidRPr="001F32D4" w:rsidR="00F56D0D" w:rsidTr="00AB3A18">
        <w:tc>
          <w:tcPr>
            <w:tcW w:w="555" w:type="dxa"/>
          </w:tcPr>
          <w:p w:rsidRPr="001F32D4" w:rsidR="00F56D0D" w:rsidP="001F32D4" w:rsidRDefault="00F56D0D">
            <w:pPr>
              <w:pStyle w:val="ListParagraph"/>
              <w:numPr>
                <w:ilvl w:val="0"/>
                <w:numId w:val="17"/>
              </w:numPr>
              <w:tabs>
                <w:tab w:val="num" w:pos="283"/>
              </w:tabs>
              <w:ind w:left="0" w:firstLine="0"/>
              <w:jc w:val="left"/>
              <w:rPr>
                <w:sz w:val="18"/>
                <w:szCs w:val="18"/>
              </w:rPr>
            </w:pPr>
          </w:p>
        </w:tc>
        <w:tc>
          <w:tcPr>
            <w:tcW w:w="1373" w:type="dxa"/>
          </w:tcPr>
          <w:p w:rsidRPr="001F32D4" w:rsidR="00F56D0D" w:rsidP="001F32D4" w:rsidRDefault="00F56D0D">
            <w:pPr>
              <w:jc w:val="left"/>
              <w:rPr>
                <w:sz w:val="18"/>
                <w:szCs w:val="18"/>
              </w:rPr>
            </w:pPr>
            <w:r w:rsidRPr="001F32D4">
              <w:rPr>
                <w:sz w:val="18"/>
                <w:szCs w:val="18"/>
              </w:rPr>
              <w:t>37098/13</w:t>
            </w:r>
          </w:p>
        </w:tc>
        <w:tc>
          <w:tcPr>
            <w:tcW w:w="1274" w:type="dxa"/>
          </w:tcPr>
          <w:p w:rsidRPr="001F32D4" w:rsidR="00F56D0D" w:rsidP="001F32D4" w:rsidRDefault="00F56D0D">
            <w:pPr>
              <w:jc w:val="left"/>
              <w:rPr>
                <w:sz w:val="18"/>
                <w:szCs w:val="18"/>
              </w:rPr>
            </w:pPr>
            <w:r w:rsidRPr="001F32D4">
              <w:rPr>
                <w:sz w:val="18"/>
                <w:szCs w:val="18"/>
              </w:rPr>
              <w:t>04/05/2013</w:t>
            </w:r>
          </w:p>
        </w:tc>
        <w:tc>
          <w:tcPr>
            <w:tcW w:w="2133" w:type="dxa"/>
          </w:tcPr>
          <w:p w:rsidRPr="001F32D4" w:rsidR="001143E3" w:rsidP="001F32D4" w:rsidRDefault="00F56D0D">
            <w:pPr>
              <w:jc w:val="left"/>
              <w:rPr>
                <w:b/>
                <w:sz w:val="18"/>
                <w:szCs w:val="18"/>
              </w:rPr>
            </w:pPr>
            <w:proofErr w:type="spellStart"/>
            <w:r w:rsidRPr="001F32D4">
              <w:rPr>
                <w:b/>
                <w:sz w:val="18"/>
                <w:szCs w:val="18"/>
              </w:rPr>
              <w:t>Yakhya</w:t>
            </w:r>
            <w:proofErr w:type="spellEnd"/>
            <w:r w:rsidRPr="001F32D4">
              <w:rPr>
                <w:b/>
                <w:sz w:val="18"/>
                <w:szCs w:val="18"/>
              </w:rPr>
              <w:t xml:space="preserve"> </w:t>
            </w:r>
            <w:proofErr w:type="spellStart"/>
            <w:r w:rsidRPr="001F32D4">
              <w:rPr>
                <w:b/>
                <w:sz w:val="18"/>
                <w:szCs w:val="18"/>
              </w:rPr>
              <w:t>Akhmedovich</w:t>
            </w:r>
            <w:proofErr w:type="spellEnd"/>
            <w:r w:rsidRPr="001F32D4">
              <w:rPr>
                <w:b/>
                <w:sz w:val="18"/>
                <w:szCs w:val="18"/>
              </w:rPr>
              <w:t xml:space="preserve"> GALAYEV</w:t>
            </w:r>
          </w:p>
          <w:p w:rsidRPr="001F32D4" w:rsidR="00F56D0D" w:rsidP="001F32D4" w:rsidRDefault="00F56D0D">
            <w:pPr>
              <w:jc w:val="left"/>
              <w:rPr>
                <w:sz w:val="18"/>
                <w:szCs w:val="18"/>
              </w:rPr>
            </w:pPr>
            <w:r w:rsidRPr="001F32D4">
              <w:rPr>
                <w:sz w:val="18"/>
                <w:szCs w:val="18"/>
              </w:rPr>
              <w:t>03/09/1938</w:t>
            </w:r>
          </w:p>
          <w:p w:rsidRPr="001F32D4" w:rsidR="00F56D0D" w:rsidP="001F32D4" w:rsidRDefault="00F56D0D">
            <w:pPr>
              <w:jc w:val="left"/>
              <w:rPr>
                <w:sz w:val="18"/>
                <w:szCs w:val="18"/>
              </w:rPr>
            </w:pPr>
            <w:proofErr w:type="spellStart"/>
            <w:r w:rsidRPr="001F32D4">
              <w:rPr>
                <w:sz w:val="18"/>
                <w:szCs w:val="18"/>
              </w:rPr>
              <w:t>Ekazhevo</w:t>
            </w:r>
            <w:proofErr w:type="spellEnd"/>
          </w:p>
          <w:p w:rsidRPr="001F32D4" w:rsidR="00F56D0D" w:rsidP="001F32D4" w:rsidRDefault="00F56D0D">
            <w:pPr>
              <w:jc w:val="left"/>
              <w:rPr>
                <w:sz w:val="18"/>
                <w:szCs w:val="18"/>
              </w:rPr>
            </w:pPr>
            <w:r w:rsidRPr="001F32D4">
              <w:rPr>
                <w:sz w:val="18"/>
                <w:szCs w:val="18"/>
              </w:rPr>
              <w:t>Represented by</w:t>
            </w:r>
          </w:p>
          <w:p w:rsidRPr="001F32D4" w:rsidR="00F56D0D" w:rsidP="001F32D4" w:rsidRDefault="00F56D0D">
            <w:pPr>
              <w:jc w:val="left"/>
              <w:rPr>
                <w:sz w:val="18"/>
                <w:szCs w:val="18"/>
              </w:rPr>
            </w:pPr>
            <w:r w:rsidRPr="001F32D4">
              <w:rPr>
                <w:sz w:val="18"/>
                <w:szCs w:val="18"/>
              </w:rPr>
              <w:t xml:space="preserve">Mr A. </w:t>
            </w:r>
            <w:proofErr w:type="spellStart"/>
            <w:r w:rsidRPr="001F32D4">
              <w:rPr>
                <w:sz w:val="18"/>
                <w:szCs w:val="18"/>
              </w:rPr>
              <w:t>Ovchinnikov</w:t>
            </w:r>
            <w:proofErr w:type="spellEnd"/>
          </w:p>
          <w:p w:rsidRPr="001F32D4" w:rsidR="00F56D0D" w:rsidP="001F32D4" w:rsidRDefault="00F56D0D">
            <w:pPr>
              <w:jc w:val="left"/>
              <w:rPr>
                <w:sz w:val="18"/>
                <w:szCs w:val="18"/>
              </w:rPr>
            </w:pPr>
          </w:p>
        </w:tc>
        <w:tc>
          <w:tcPr>
            <w:tcW w:w="1300" w:type="dxa"/>
          </w:tcPr>
          <w:p w:rsidRPr="001F32D4" w:rsidR="00F56D0D" w:rsidP="001F32D4" w:rsidRDefault="00F56D0D">
            <w:pPr>
              <w:jc w:val="left"/>
              <w:rPr>
                <w:sz w:val="18"/>
                <w:szCs w:val="18"/>
              </w:rPr>
            </w:pPr>
            <w:r w:rsidRPr="001F32D4">
              <w:rPr>
                <w:sz w:val="18"/>
                <w:szCs w:val="18"/>
              </w:rPr>
              <w:t>SUR 1,000,000</w:t>
            </w:r>
          </w:p>
        </w:tc>
        <w:tc>
          <w:tcPr>
            <w:tcW w:w="1701" w:type="dxa"/>
          </w:tcPr>
          <w:p w:rsidRPr="001F32D4" w:rsidR="00F56D0D" w:rsidP="001F32D4" w:rsidRDefault="00732917">
            <w:pPr>
              <w:jc w:val="left"/>
              <w:rPr>
                <w:sz w:val="18"/>
                <w:szCs w:val="18"/>
              </w:rPr>
            </w:pPr>
            <w:r w:rsidRPr="001F32D4">
              <w:rPr>
                <w:sz w:val="18"/>
                <w:szCs w:val="18"/>
              </w:rPr>
              <w:t>Former director of a collective farm in 1980-91 and co-owner of a production facility in 1989-93, he received bonds in payment for the goods and acquired them though the sale of property and vehicles.</w:t>
            </w:r>
          </w:p>
        </w:tc>
        <w:tc>
          <w:tcPr>
            <w:tcW w:w="1418" w:type="dxa"/>
          </w:tcPr>
          <w:p w:rsidRPr="001F32D4" w:rsidR="00F56D0D" w:rsidP="001F32D4" w:rsidRDefault="00732917">
            <w:pPr>
              <w:jc w:val="left"/>
              <w:rPr>
                <w:sz w:val="18"/>
                <w:szCs w:val="18"/>
              </w:rPr>
            </w:pPr>
            <w:r w:rsidRPr="001F32D4">
              <w:rPr>
                <w:sz w:val="18"/>
                <w:szCs w:val="18"/>
              </w:rPr>
              <w:t>EUR 10,000</w:t>
            </w:r>
          </w:p>
        </w:tc>
        <w:tc>
          <w:tcPr>
            <w:tcW w:w="1694" w:type="dxa"/>
          </w:tcPr>
          <w:p w:rsidRPr="001F32D4" w:rsidR="00F56D0D" w:rsidP="001F32D4" w:rsidRDefault="00732917">
            <w:pPr>
              <w:jc w:val="left"/>
              <w:rPr>
                <w:sz w:val="18"/>
                <w:szCs w:val="18"/>
              </w:rPr>
            </w:pPr>
            <w:r w:rsidRPr="001F32D4">
              <w:rPr>
                <w:sz w:val="18"/>
                <w:szCs w:val="18"/>
              </w:rPr>
              <w:t xml:space="preserve">EUR 7,374,870 </w:t>
            </w:r>
          </w:p>
        </w:tc>
        <w:tc>
          <w:tcPr>
            <w:tcW w:w="1058" w:type="dxa"/>
          </w:tcPr>
          <w:p w:rsidRPr="001F32D4" w:rsidR="00F56D0D" w:rsidP="001F32D4" w:rsidRDefault="00AE64E7">
            <w:pPr>
              <w:jc w:val="left"/>
              <w:rPr>
                <w:sz w:val="18"/>
                <w:szCs w:val="18"/>
              </w:rPr>
            </w:pPr>
            <w:r w:rsidRPr="001F32D4">
              <w:rPr>
                <w:sz w:val="18"/>
                <w:szCs w:val="18"/>
              </w:rPr>
              <w:t>Not claimed.</w:t>
            </w:r>
          </w:p>
        </w:tc>
      </w:tr>
      <w:tr w:rsidRPr="001F32D4" w:rsidR="00871570" w:rsidTr="000015AC">
        <w:tc>
          <w:tcPr>
            <w:tcW w:w="555" w:type="dxa"/>
          </w:tcPr>
          <w:p w:rsidRPr="001F32D4" w:rsidR="00871570" w:rsidP="001F32D4" w:rsidRDefault="00871570">
            <w:pPr>
              <w:pStyle w:val="ListParagraph"/>
              <w:numPr>
                <w:ilvl w:val="0"/>
                <w:numId w:val="17"/>
              </w:numPr>
              <w:tabs>
                <w:tab w:val="num" w:pos="283"/>
              </w:tabs>
              <w:ind w:left="0" w:firstLine="0"/>
              <w:jc w:val="left"/>
              <w:rPr>
                <w:sz w:val="18"/>
                <w:szCs w:val="18"/>
              </w:rPr>
            </w:pPr>
          </w:p>
        </w:tc>
        <w:tc>
          <w:tcPr>
            <w:tcW w:w="1373" w:type="dxa"/>
          </w:tcPr>
          <w:p w:rsidRPr="001F32D4" w:rsidR="00871570" w:rsidP="001F32D4" w:rsidRDefault="00871570">
            <w:pPr>
              <w:jc w:val="left"/>
              <w:rPr>
                <w:sz w:val="18"/>
                <w:szCs w:val="18"/>
              </w:rPr>
            </w:pPr>
            <w:r w:rsidRPr="001F32D4">
              <w:rPr>
                <w:sz w:val="18"/>
                <w:szCs w:val="18"/>
              </w:rPr>
              <w:t>39017/13</w:t>
            </w:r>
          </w:p>
        </w:tc>
        <w:tc>
          <w:tcPr>
            <w:tcW w:w="1274" w:type="dxa"/>
          </w:tcPr>
          <w:p w:rsidRPr="001F32D4" w:rsidR="00871570" w:rsidP="001F32D4" w:rsidRDefault="00871570">
            <w:pPr>
              <w:jc w:val="left"/>
              <w:rPr>
                <w:sz w:val="18"/>
                <w:szCs w:val="18"/>
              </w:rPr>
            </w:pPr>
            <w:r w:rsidRPr="001F32D4">
              <w:rPr>
                <w:sz w:val="18"/>
                <w:szCs w:val="18"/>
              </w:rPr>
              <w:t>21/05/2013</w:t>
            </w:r>
          </w:p>
        </w:tc>
        <w:tc>
          <w:tcPr>
            <w:tcW w:w="2133" w:type="dxa"/>
          </w:tcPr>
          <w:p w:rsidRPr="001F32D4" w:rsidR="001143E3" w:rsidP="001F32D4" w:rsidRDefault="00871570">
            <w:pPr>
              <w:jc w:val="left"/>
              <w:rPr>
                <w:b/>
                <w:sz w:val="18"/>
                <w:szCs w:val="18"/>
              </w:rPr>
            </w:pPr>
            <w:r w:rsidRPr="001F32D4">
              <w:rPr>
                <w:b/>
                <w:sz w:val="18"/>
                <w:szCs w:val="18"/>
              </w:rPr>
              <w:t xml:space="preserve">Yuriy </w:t>
            </w:r>
            <w:proofErr w:type="spellStart"/>
            <w:r w:rsidRPr="001F32D4">
              <w:rPr>
                <w:b/>
                <w:sz w:val="18"/>
                <w:szCs w:val="18"/>
              </w:rPr>
              <w:t>Olegovich</w:t>
            </w:r>
            <w:proofErr w:type="spellEnd"/>
            <w:r w:rsidRPr="001F32D4">
              <w:rPr>
                <w:b/>
                <w:sz w:val="18"/>
                <w:szCs w:val="18"/>
              </w:rPr>
              <w:t xml:space="preserve"> KOSACHEV</w:t>
            </w:r>
          </w:p>
          <w:p w:rsidRPr="001F32D4" w:rsidR="00871570" w:rsidP="001F32D4" w:rsidRDefault="00871570">
            <w:pPr>
              <w:jc w:val="left"/>
              <w:rPr>
                <w:sz w:val="18"/>
                <w:szCs w:val="18"/>
              </w:rPr>
            </w:pPr>
            <w:r w:rsidRPr="001F32D4">
              <w:rPr>
                <w:sz w:val="18"/>
                <w:szCs w:val="18"/>
              </w:rPr>
              <w:t>21/05/1950</w:t>
            </w:r>
          </w:p>
          <w:p w:rsidRPr="001F32D4" w:rsidR="00871570" w:rsidP="001F32D4" w:rsidRDefault="00871570">
            <w:pPr>
              <w:jc w:val="left"/>
              <w:rPr>
                <w:sz w:val="18"/>
                <w:szCs w:val="18"/>
              </w:rPr>
            </w:pPr>
            <w:r w:rsidRPr="001F32D4">
              <w:rPr>
                <w:sz w:val="18"/>
                <w:szCs w:val="18"/>
              </w:rPr>
              <w:t>Cheboksary</w:t>
            </w:r>
          </w:p>
          <w:p w:rsidRPr="001F32D4" w:rsidR="00871570" w:rsidP="001F32D4" w:rsidRDefault="00871570">
            <w:pPr>
              <w:jc w:val="left"/>
              <w:rPr>
                <w:sz w:val="18"/>
                <w:szCs w:val="18"/>
              </w:rPr>
            </w:pPr>
          </w:p>
        </w:tc>
        <w:tc>
          <w:tcPr>
            <w:tcW w:w="1300" w:type="dxa"/>
          </w:tcPr>
          <w:p w:rsidRPr="001F32D4" w:rsidR="00871570" w:rsidP="001F32D4" w:rsidRDefault="00871570">
            <w:pPr>
              <w:jc w:val="left"/>
              <w:rPr>
                <w:sz w:val="18"/>
                <w:szCs w:val="18"/>
              </w:rPr>
            </w:pPr>
            <w:r w:rsidRPr="001F32D4">
              <w:rPr>
                <w:sz w:val="18"/>
                <w:szCs w:val="18"/>
              </w:rPr>
              <w:t>SUR 5,900</w:t>
            </w:r>
          </w:p>
        </w:tc>
        <w:tc>
          <w:tcPr>
            <w:tcW w:w="1701" w:type="dxa"/>
          </w:tcPr>
          <w:p w:rsidRPr="001F32D4" w:rsidR="00871570" w:rsidP="001F32D4" w:rsidRDefault="00871570">
            <w:pPr>
              <w:jc w:val="left"/>
              <w:rPr>
                <w:sz w:val="18"/>
                <w:szCs w:val="18"/>
              </w:rPr>
            </w:pPr>
            <w:r w:rsidRPr="001F32D4">
              <w:rPr>
                <w:sz w:val="18"/>
                <w:szCs w:val="18"/>
              </w:rPr>
              <w:t>No reply.</w:t>
            </w:r>
          </w:p>
        </w:tc>
        <w:tc>
          <w:tcPr>
            <w:tcW w:w="4170" w:type="dxa"/>
            <w:gridSpan w:val="3"/>
          </w:tcPr>
          <w:p w:rsidRPr="001F32D4" w:rsidR="00871570" w:rsidP="001F32D4" w:rsidRDefault="00871570">
            <w:pPr>
              <w:jc w:val="left"/>
              <w:rPr>
                <w:sz w:val="18"/>
                <w:szCs w:val="18"/>
              </w:rPr>
            </w:pPr>
            <w:r w:rsidRPr="001F32D4">
              <w:rPr>
                <w:sz w:val="18"/>
                <w:szCs w:val="18"/>
              </w:rPr>
              <w:t>Claims not submitted within the time-limit.</w:t>
            </w:r>
          </w:p>
        </w:tc>
      </w:tr>
      <w:tr w:rsidRPr="001F32D4" w:rsidR="00871570" w:rsidTr="00AB3A18">
        <w:tc>
          <w:tcPr>
            <w:tcW w:w="555" w:type="dxa"/>
          </w:tcPr>
          <w:p w:rsidRPr="001F32D4" w:rsidR="00871570" w:rsidP="001F32D4" w:rsidRDefault="00871570">
            <w:pPr>
              <w:pStyle w:val="ListParagraph"/>
              <w:pageBreakBefore/>
              <w:numPr>
                <w:ilvl w:val="0"/>
                <w:numId w:val="17"/>
              </w:numPr>
              <w:tabs>
                <w:tab w:val="num" w:pos="283"/>
              </w:tabs>
              <w:ind w:left="0" w:firstLine="0"/>
              <w:jc w:val="left"/>
              <w:rPr>
                <w:sz w:val="18"/>
                <w:szCs w:val="18"/>
              </w:rPr>
            </w:pPr>
          </w:p>
        </w:tc>
        <w:tc>
          <w:tcPr>
            <w:tcW w:w="1373" w:type="dxa"/>
          </w:tcPr>
          <w:p w:rsidRPr="001F32D4" w:rsidR="00871570" w:rsidP="001F32D4" w:rsidRDefault="00871570">
            <w:pPr>
              <w:pageBreakBefore/>
              <w:jc w:val="left"/>
              <w:rPr>
                <w:sz w:val="18"/>
                <w:szCs w:val="18"/>
              </w:rPr>
            </w:pPr>
            <w:r w:rsidRPr="001F32D4">
              <w:rPr>
                <w:sz w:val="18"/>
                <w:szCs w:val="18"/>
              </w:rPr>
              <w:t>53719/13</w:t>
            </w:r>
          </w:p>
        </w:tc>
        <w:tc>
          <w:tcPr>
            <w:tcW w:w="1274" w:type="dxa"/>
          </w:tcPr>
          <w:p w:rsidRPr="001F32D4" w:rsidR="00871570" w:rsidP="001F32D4" w:rsidRDefault="00871570">
            <w:pPr>
              <w:pageBreakBefore/>
              <w:jc w:val="left"/>
              <w:rPr>
                <w:sz w:val="18"/>
                <w:szCs w:val="18"/>
              </w:rPr>
            </w:pPr>
            <w:r w:rsidRPr="001F32D4">
              <w:rPr>
                <w:sz w:val="18"/>
                <w:szCs w:val="18"/>
              </w:rPr>
              <w:t>15/07/2013</w:t>
            </w:r>
          </w:p>
        </w:tc>
        <w:tc>
          <w:tcPr>
            <w:tcW w:w="2133" w:type="dxa"/>
          </w:tcPr>
          <w:p w:rsidRPr="001F32D4" w:rsidR="00871570" w:rsidP="001F32D4" w:rsidRDefault="00871570">
            <w:pPr>
              <w:pageBreakBefore/>
              <w:jc w:val="left"/>
              <w:rPr>
                <w:b/>
                <w:sz w:val="18"/>
                <w:szCs w:val="18"/>
              </w:rPr>
            </w:pPr>
            <w:r w:rsidRPr="001F32D4">
              <w:rPr>
                <w:b/>
                <w:sz w:val="18"/>
                <w:szCs w:val="18"/>
              </w:rPr>
              <w:t xml:space="preserve">Tamara </w:t>
            </w:r>
            <w:proofErr w:type="spellStart"/>
            <w:r w:rsidRPr="001F32D4">
              <w:rPr>
                <w:b/>
                <w:sz w:val="18"/>
                <w:szCs w:val="18"/>
              </w:rPr>
              <w:t>Georgiyevna</w:t>
            </w:r>
            <w:proofErr w:type="spellEnd"/>
            <w:r w:rsidRPr="001F32D4">
              <w:rPr>
                <w:b/>
                <w:sz w:val="18"/>
                <w:szCs w:val="18"/>
              </w:rPr>
              <w:t xml:space="preserve"> PROKOFYEVA</w:t>
            </w:r>
          </w:p>
          <w:p w:rsidRPr="001F32D4" w:rsidR="00871570" w:rsidP="001F32D4" w:rsidRDefault="00871570">
            <w:pPr>
              <w:pageBreakBefore/>
              <w:jc w:val="left"/>
              <w:rPr>
                <w:sz w:val="18"/>
                <w:szCs w:val="18"/>
              </w:rPr>
            </w:pPr>
            <w:r w:rsidRPr="001F32D4">
              <w:rPr>
                <w:sz w:val="18"/>
                <w:szCs w:val="18"/>
              </w:rPr>
              <w:t>03/11/1948</w:t>
            </w:r>
          </w:p>
          <w:p w:rsidRPr="001F32D4" w:rsidR="00871570" w:rsidP="001F32D4" w:rsidRDefault="00871570">
            <w:pPr>
              <w:pageBreakBefore/>
              <w:jc w:val="left"/>
              <w:rPr>
                <w:sz w:val="18"/>
                <w:szCs w:val="18"/>
              </w:rPr>
            </w:pPr>
            <w:proofErr w:type="spellStart"/>
            <w:r w:rsidRPr="001F32D4">
              <w:rPr>
                <w:sz w:val="18"/>
                <w:szCs w:val="18"/>
              </w:rPr>
              <w:t>Volsk</w:t>
            </w:r>
            <w:proofErr w:type="spellEnd"/>
          </w:p>
          <w:p w:rsidRPr="001F32D4" w:rsidR="00871570" w:rsidP="001F32D4" w:rsidRDefault="00871570">
            <w:pPr>
              <w:pageBreakBefore/>
              <w:jc w:val="left"/>
              <w:rPr>
                <w:sz w:val="18"/>
                <w:szCs w:val="18"/>
              </w:rPr>
            </w:pPr>
            <w:r w:rsidRPr="001F32D4">
              <w:rPr>
                <w:sz w:val="18"/>
                <w:szCs w:val="18"/>
              </w:rPr>
              <w:t>Represented by</w:t>
            </w:r>
          </w:p>
          <w:p w:rsidRPr="001F32D4" w:rsidR="00871570" w:rsidP="001F32D4" w:rsidRDefault="00871570">
            <w:pPr>
              <w:pageBreakBefore/>
              <w:jc w:val="left"/>
              <w:rPr>
                <w:sz w:val="18"/>
                <w:szCs w:val="18"/>
              </w:rPr>
            </w:pPr>
            <w:r w:rsidRPr="001F32D4">
              <w:rPr>
                <w:sz w:val="18"/>
                <w:szCs w:val="18"/>
              </w:rPr>
              <w:t xml:space="preserve">Mr A. </w:t>
            </w:r>
            <w:proofErr w:type="spellStart"/>
            <w:r w:rsidRPr="001F32D4">
              <w:rPr>
                <w:sz w:val="18"/>
                <w:szCs w:val="18"/>
              </w:rPr>
              <w:t>Vologin</w:t>
            </w:r>
            <w:proofErr w:type="spellEnd"/>
            <w:r w:rsidRPr="001F32D4">
              <w:rPr>
                <w:sz w:val="18"/>
                <w:szCs w:val="18"/>
              </w:rPr>
              <w:br/>
            </w:r>
          </w:p>
        </w:tc>
        <w:tc>
          <w:tcPr>
            <w:tcW w:w="1300" w:type="dxa"/>
          </w:tcPr>
          <w:p w:rsidRPr="001F32D4" w:rsidR="00871570" w:rsidP="001F32D4" w:rsidRDefault="00871570">
            <w:pPr>
              <w:pageBreakBefore/>
              <w:jc w:val="left"/>
              <w:rPr>
                <w:sz w:val="18"/>
                <w:szCs w:val="18"/>
              </w:rPr>
            </w:pPr>
            <w:r w:rsidRPr="001F32D4">
              <w:rPr>
                <w:sz w:val="18"/>
                <w:szCs w:val="18"/>
              </w:rPr>
              <w:t>SUR 950</w:t>
            </w:r>
          </w:p>
        </w:tc>
        <w:tc>
          <w:tcPr>
            <w:tcW w:w="1701" w:type="dxa"/>
          </w:tcPr>
          <w:p w:rsidRPr="001F32D4" w:rsidR="00871570" w:rsidP="001F32D4" w:rsidRDefault="00871570">
            <w:pPr>
              <w:pageBreakBefore/>
              <w:jc w:val="left"/>
              <w:rPr>
                <w:sz w:val="18"/>
                <w:szCs w:val="18"/>
              </w:rPr>
            </w:pPr>
            <w:r w:rsidRPr="001F32D4">
              <w:rPr>
                <w:sz w:val="18"/>
                <w:szCs w:val="18"/>
              </w:rPr>
              <w:t>Purchased from the Savings Bank on 25 November 1982.</w:t>
            </w:r>
          </w:p>
        </w:tc>
        <w:tc>
          <w:tcPr>
            <w:tcW w:w="1418" w:type="dxa"/>
          </w:tcPr>
          <w:p w:rsidRPr="001F32D4" w:rsidR="00871570" w:rsidP="001F32D4" w:rsidRDefault="00871570">
            <w:pPr>
              <w:pageBreakBefore/>
              <w:jc w:val="left"/>
              <w:rPr>
                <w:sz w:val="18"/>
                <w:szCs w:val="18"/>
              </w:rPr>
            </w:pPr>
            <w:r w:rsidRPr="001F32D4">
              <w:rPr>
                <w:sz w:val="18"/>
                <w:szCs w:val="18"/>
              </w:rPr>
              <w:t>EUR 100,000</w:t>
            </w:r>
          </w:p>
        </w:tc>
        <w:tc>
          <w:tcPr>
            <w:tcW w:w="1694" w:type="dxa"/>
          </w:tcPr>
          <w:p w:rsidRPr="001F32D4" w:rsidR="00871570" w:rsidP="001F32D4" w:rsidRDefault="00871570">
            <w:pPr>
              <w:pageBreakBefore/>
              <w:jc w:val="left"/>
              <w:rPr>
                <w:sz w:val="18"/>
                <w:szCs w:val="18"/>
              </w:rPr>
            </w:pPr>
            <w:r w:rsidRPr="001F32D4">
              <w:rPr>
                <w:sz w:val="18"/>
                <w:szCs w:val="18"/>
              </w:rPr>
              <w:t xml:space="preserve">EUR 3,072.30 </w:t>
            </w:r>
          </w:p>
        </w:tc>
        <w:tc>
          <w:tcPr>
            <w:tcW w:w="1058" w:type="dxa"/>
          </w:tcPr>
          <w:p w:rsidRPr="001F32D4" w:rsidR="00871570" w:rsidP="001F32D4" w:rsidRDefault="00AE64E7">
            <w:pPr>
              <w:pageBreakBefore/>
              <w:jc w:val="left"/>
              <w:rPr>
                <w:sz w:val="18"/>
                <w:szCs w:val="18"/>
              </w:rPr>
            </w:pPr>
            <w:r w:rsidRPr="001F32D4">
              <w:rPr>
                <w:sz w:val="18"/>
                <w:szCs w:val="18"/>
              </w:rPr>
              <w:t>Not claimed.</w:t>
            </w:r>
          </w:p>
        </w:tc>
      </w:tr>
      <w:tr w:rsidRPr="001F32D4" w:rsidR="00871570" w:rsidTr="000015AC">
        <w:tc>
          <w:tcPr>
            <w:tcW w:w="555" w:type="dxa"/>
          </w:tcPr>
          <w:p w:rsidRPr="001F32D4" w:rsidR="00871570" w:rsidP="001F32D4" w:rsidRDefault="00871570">
            <w:pPr>
              <w:pStyle w:val="ListParagraph"/>
              <w:keepLines/>
              <w:numPr>
                <w:ilvl w:val="0"/>
                <w:numId w:val="17"/>
              </w:numPr>
              <w:tabs>
                <w:tab w:val="num" w:pos="283"/>
              </w:tabs>
              <w:ind w:left="0" w:firstLine="0"/>
              <w:jc w:val="left"/>
              <w:rPr>
                <w:sz w:val="18"/>
                <w:szCs w:val="18"/>
              </w:rPr>
            </w:pPr>
          </w:p>
        </w:tc>
        <w:tc>
          <w:tcPr>
            <w:tcW w:w="1373" w:type="dxa"/>
          </w:tcPr>
          <w:p w:rsidRPr="001F32D4" w:rsidR="00871570" w:rsidP="001F32D4" w:rsidRDefault="00871570">
            <w:pPr>
              <w:keepLines/>
              <w:jc w:val="left"/>
              <w:rPr>
                <w:sz w:val="18"/>
                <w:szCs w:val="18"/>
              </w:rPr>
            </w:pPr>
            <w:r w:rsidRPr="001F32D4">
              <w:rPr>
                <w:sz w:val="18"/>
                <w:szCs w:val="18"/>
              </w:rPr>
              <w:t>72539/13</w:t>
            </w:r>
          </w:p>
        </w:tc>
        <w:tc>
          <w:tcPr>
            <w:tcW w:w="1274" w:type="dxa"/>
          </w:tcPr>
          <w:p w:rsidRPr="001F32D4" w:rsidR="00871570" w:rsidP="001F32D4" w:rsidRDefault="00871570">
            <w:pPr>
              <w:keepLines/>
              <w:jc w:val="left"/>
              <w:rPr>
                <w:sz w:val="18"/>
                <w:szCs w:val="18"/>
              </w:rPr>
            </w:pPr>
            <w:r w:rsidRPr="001F32D4">
              <w:rPr>
                <w:sz w:val="18"/>
                <w:szCs w:val="18"/>
              </w:rPr>
              <w:t>25/10/2013</w:t>
            </w:r>
          </w:p>
        </w:tc>
        <w:tc>
          <w:tcPr>
            <w:tcW w:w="2133" w:type="dxa"/>
          </w:tcPr>
          <w:p w:rsidRPr="001F32D4" w:rsidR="001143E3" w:rsidP="001F32D4" w:rsidRDefault="00871570">
            <w:pPr>
              <w:keepLines/>
              <w:jc w:val="left"/>
              <w:rPr>
                <w:b/>
                <w:sz w:val="18"/>
                <w:szCs w:val="18"/>
              </w:rPr>
            </w:pPr>
            <w:r w:rsidRPr="001F32D4">
              <w:rPr>
                <w:b/>
                <w:sz w:val="18"/>
                <w:szCs w:val="18"/>
              </w:rPr>
              <w:t xml:space="preserve">Vladimir </w:t>
            </w:r>
            <w:proofErr w:type="spellStart"/>
            <w:r w:rsidRPr="001F32D4">
              <w:rPr>
                <w:b/>
                <w:sz w:val="18"/>
                <w:szCs w:val="18"/>
              </w:rPr>
              <w:t>Ivanovich</w:t>
            </w:r>
            <w:proofErr w:type="spellEnd"/>
            <w:r w:rsidRPr="001F32D4">
              <w:rPr>
                <w:b/>
                <w:sz w:val="18"/>
                <w:szCs w:val="18"/>
              </w:rPr>
              <w:t xml:space="preserve"> VOLOGIN</w:t>
            </w:r>
          </w:p>
          <w:p w:rsidRPr="001F32D4" w:rsidR="00871570" w:rsidP="001F32D4" w:rsidRDefault="00871570">
            <w:pPr>
              <w:keepLines/>
              <w:jc w:val="left"/>
              <w:rPr>
                <w:sz w:val="18"/>
                <w:szCs w:val="18"/>
              </w:rPr>
            </w:pPr>
            <w:r w:rsidRPr="001F32D4">
              <w:rPr>
                <w:sz w:val="18"/>
                <w:szCs w:val="18"/>
              </w:rPr>
              <w:t>22/01/1936</w:t>
            </w:r>
          </w:p>
          <w:p w:rsidRPr="001F32D4" w:rsidR="00871570" w:rsidP="001F32D4" w:rsidRDefault="00871570">
            <w:pPr>
              <w:keepLines/>
              <w:jc w:val="left"/>
              <w:rPr>
                <w:sz w:val="18"/>
                <w:szCs w:val="18"/>
              </w:rPr>
            </w:pPr>
            <w:r w:rsidRPr="001F32D4">
              <w:rPr>
                <w:sz w:val="18"/>
                <w:szCs w:val="18"/>
              </w:rPr>
              <w:t>Moscow</w:t>
            </w:r>
          </w:p>
          <w:p w:rsidRPr="001F32D4" w:rsidR="00871570" w:rsidP="001F32D4" w:rsidRDefault="00871570">
            <w:pPr>
              <w:keepLines/>
              <w:jc w:val="left"/>
              <w:rPr>
                <w:sz w:val="18"/>
                <w:szCs w:val="18"/>
              </w:rPr>
            </w:pPr>
          </w:p>
        </w:tc>
        <w:tc>
          <w:tcPr>
            <w:tcW w:w="1300" w:type="dxa"/>
          </w:tcPr>
          <w:p w:rsidRPr="001F32D4" w:rsidR="00871570" w:rsidP="001F32D4" w:rsidRDefault="00871570">
            <w:pPr>
              <w:keepLines/>
              <w:jc w:val="left"/>
              <w:rPr>
                <w:sz w:val="18"/>
                <w:szCs w:val="18"/>
              </w:rPr>
            </w:pPr>
            <w:r w:rsidRPr="001F32D4">
              <w:rPr>
                <w:sz w:val="18"/>
                <w:szCs w:val="18"/>
              </w:rPr>
              <w:t>SUR 2,000</w:t>
            </w:r>
          </w:p>
        </w:tc>
        <w:tc>
          <w:tcPr>
            <w:tcW w:w="1701" w:type="dxa"/>
          </w:tcPr>
          <w:p w:rsidRPr="001F32D4" w:rsidR="00871570" w:rsidP="001F32D4" w:rsidRDefault="006E243A">
            <w:pPr>
              <w:keepLines/>
              <w:jc w:val="left"/>
              <w:rPr>
                <w:sz w:val="18"/>
                <w:szCs w:val="18"/>
              </w:rPr>
            </w:pPr>
            <w:r w:rsidRPr="001F32D4">
              <w:rPr>
                <w:sz w:val="18"/>
                <w:szCs w:val="18"/>
              </w:rPr>
              <w:t>Purchased from the Savings Bank</w:t>
            </w:r>
            <w:r w:rsidRPr="001F32D4" w:rsidR="00871570">
              <w:rPr>
                <w:sz w:val="18"/>
                <w:szCs w:val="18"/>
              </w:rPr>
              <w:t>.</w:t>
            </w:r>
          </w:p>
        </w:tc>
        <w:tc>
          <w:tcPr>
            <w:tcW w:w="4170" w:type="dxa"/>
            <w:gridSpan w:val="3"/>
          </w:tcPr>
          <w:p w:rsidRPr="001F32D4" w:rsidR="00871570" w:rsidP="001F32D4" w:rsidRDefault="00871570">
            <w:pPr>
              <w:keepLines/>
              <w:jc w:val="left"/>
              <w:rPr>
                <w:sz w:val="18"/>
                <w:szCs w:val="18"/>
              </w:rPr>
            </w:pPr>
            <w:r w:rsidRPr="001F32D4">
              <w:rPr>
                <w:sz w:val="18"/>
                <w:szCs w:val="18"/>
              </w:rPr>
              <w:t>Claims not submitted within the time-limit.</w:t>
            </w:r>
          </w:p>
        </w:tc>
      </w:tr>
      <w:tr w:rsidRPr="001F32D4" w:rsidR="00871570" w:rsidTr="00AB3A18">
        <w:tc>
          <w:tcPr>
            <w:tcW w:w="555" w:type="dxa"/>
          </w:tcPr>
          <w:p w:rsidRPr="001F32D4" w:rsidR="00871570" w:rsidP="001F32D4" w:rsidRDefault="00871570">
            <w:pPr>
              <w:pStyle w:val="ListParagraph"/>
              <w:numPr>
                <w:ilvl w:val="0"/>
                <w:numId w:val="17"/>
              </w:numPr>
              <w:tabs>
                <w:tab w:val="num" w:pos="283"/>
              </w:tabs>
              <w:ind w:left="0" w:firstLine="0"/>
              <w:jc w:val="left"/>
              <w:rPr>
                <w:sz w:val="18"/>
                <w:szCs w:val="18"/>
              </w:rPr>
            </w:pPr>
          </w:p>
        </w:tc>
        <w:tc>
          <w:tcPr>
            <w:tcW w:w="1373" w:type="dxa"/>
          </w:tcPr>
          <w:p w:rsidRPr="001F32D4" w:rsidR="00871570" w:rsidP="001F32D4" w:rsidRDefault="00871570">
            <w:pPr>
              <w:jc w:val="left"/>
              <w:rPr>
                <w:sz w:val="18"/>
                <w:szCs w:val="18"/>
              </w:rPr>
            </w:pPr>
            <w:r w:rsidRPr="001F32D4">
              <w:rPr>
                <w:sz w:val="18"/>
                <w:szCs w:val="18"/>
              </w:rPr>
              <w:t>79934/13</w:t>
            </w:r>
          </w:p>
        </w:tc>
        <w:tc>
          <w:tcPr>
            <w:tcW w:w="1274" w:type="dxa"/>
          </w:tcPr>
          <w:p w:rsidRPr="001F32D4" w:rsidR="00871570" w:rsidP="001F32D4" w:rsidRDefault="00871570">
            <w:pPr>
              <w:jc w:val="left"/>
              <w:rPr>
                <w:sz w:val="18"/>
                <w:szCs w:val="18"/>
              </w:rPr>
            </w:pPr>
            <w:r w:rsidRPr="001F32D4">
              <w:rPr>
                <w:sz w:val="18"/>
                <w:szCs w:val="18"/>
              </w:rPr>
              <w:t>01/12/2013</w:t>
            </w:r>
          </w:p>
        </w:tc>
        <w:tc>
          <w:tcPr>
            <w:tcW w:w="2133" w:type="dxa"/>
          </w:tcPr>
          <w:p w:rsidRPr="001F32D4" w:rsidR="001143E3" w:rsidP="001F32D4" w:rsidRDefault="00871570">
            <w:pPr>
              <w:jc w:val="left"/>
              <w:rPr>
                <w:b/>
                <w:sz w:val="18"/>
                <w:szCs w:val="18"/>
              </w:rPr>
            </w:pPr>
            <w:r w:rsidRPr="001F32D4">
              <w:rPr>
                <w:b/>
                <w:sz w:val="18"/>
                <w:szCs w:val="18"/>
              </w:rPr>
              <w:t>Nikolay Nikolayevich GUSEV</w:t>
            </w:r>
          </w:p>
          <w:p w:rsidRPr="001F32D4" w:rsidR="00871570" w:rsidP="001F32D4" w:rsidRDefault="00871570">
            <w:pPr>
              <w:jc w:val="left"/>
              <w:rPr>
                <w:sz w:val="18"/>
                <w:szCs w:val="18"/>
              </w:rPr>
            </w:pPr>
            <w:r w:rsidRPr="001F32D4">
              <w:rPr>
                <w:sz w:val="18"/>
                <w:szCs w:val="18"/>
              </w:rPr>
              <w:t>13/04/1968</w:t>
            </w:r>
          </w:p>
          <w:p w:rsidRPr="001F32D4" w:rsidR="00871570" w:rsidP="001F32D4" w:rsidRDefault="00871570">
            <w:pPr>
              <w:jc w:val="left"/>
              <w:rPr>
                <w:sz w:val="18"/>
                <w:szCs w:val="18"/>
              </w:rPr>
            </w:pPr>
            <w:r w:rsidRPr="001F32D4">
              <w:rPr>
                <w:sz w:val="18"/>
                <w:szCs w:val="18"/>
              </w:rPr>
              <w:t>Moscow</w:t>
            </w:r>
          </w:p>
          <w:p w:rsidRPr="001F32D4" w:rsidR="00871570" w:rsidP="001F32D4" w:rsidRDefault="00871570">
            <w:pPr>
              <w:jc w:val="left"/>
              <w:rPr>
                <w:sz w:val="18"/>
                <w:szCs w:val="18"/>
              </w:rPr>
            </w:pPr>
            <w:r w:rsidRPr="001F32D4">
              <w:rPr>
                <w:sz w:val="18"/>
                <w:szCs w:val="18"/>
              </w:rPr>
              <w:t xml:space="preserve">Represented by </w:t>
            </w:r>
            <w:r w:rsidRPr="001F32D4">
              <w:rPr>
                <w:sz w:val="18"/>
                <w:szCs w:val="18"/>
              </w:rPr>
              <w:br/>
              <w:t xml:space="preserve">Mr V. </w:t>
            </w:r>
            <w:proofErr w:type="spellStart"/>
            <w:r w:rsidRPr="001F32D4">
              <w:rPr>
                <w:sz w:val="18"/>
                <w:szCs w:val="18"/>
              </w:rPr>
              <w:t>Fedoseyev</w:t>
            </w:r>
            <w:proofErr w:type="spellEnd"/>
          </w:p>
          <w:p w:rsidRPr="001F32D4" w:rsidR="00871570" w:rsidP="001F32D4" w:rsidRDefault="00871570">
            <w:pPr>
              <w:jc w:val="left"/>
              <w:rPr>
                <w:sz w:val="18"/>
                <w:szCs w:val="18"/>
              </w:rPr>
            </w:pPr>
          </w:p>
        </w:tc>
        <w:tc>
          <w:tcPr>
            <w:tcW w:w="1300" w:type="dxa"/>
          </w:tcPr>
          <w:p w:rsidRPr="001F32D4" w:rsidR="00871570" w:rsidP="001F32D4" w:rsidRDefault="00871570">
            <w:pPr>
              <w:jc w:val="left"/>
              <w:rPr>
                <w:sz w:val="18"/>
                <w:szCs w:val="18"/>
              </w:rPr>
            </w:pPr>
            <w:r w:rsidRPr="001F32D4">
              <w:rPr>
                <w:sz w:val="18"/>
                <w:szCs w:val="18"/>
              </w:rPr>
              <w:t>SUR 534,225</w:t>
            </w:r>
          </w:p>
        </w:tc>
        <w:tc>
          <w:tcPr>
            <w:tcW w:w="1701" w:type="dxa"/>
          </w:tcPr>
          <w:p w:rsidRPr="001F32D4" w:rsidR="00871570" w:rsidP="001F32D4" w:rsidRDefault="00587CFE">
            <w:pPr>
              <w:jc w:val="left"/>
              <w:rPr>
                <w:sz w:val="18"/>
                <w:szCs w:val="18"/>
              </w:rPr>
            </w:pPr>
            <w:r w:rsidRPr="001F32D4">
              <w:rPr>
                <w:sz w:val="18"/>
                <w:szCs w:val="18"/>
              </w:rPr>
              <w:t>R</w:t>
            </w:r>
            <w:r w:rsidRPr="001F32D4" w:rsidR="0048420A">
              <w:rPr>
                <w:sz w:val="18"/>
                <w:szCs w:val="18"/>
              </w:rPr>
              <w:t>eceived</w:t>
            </w:r>
            <w:r w:rsidRPr="001F32D4" w:rsidR="00871570">
              <w:rPr>
                <w:sz w:val="18"/>
                <w:szCs w:val="18"/>
              </w:rPr>
              <w:t xml:space="preserve"> them in 2005</w:t>
            </w:r>
            <w:r w:rsidRPr="001F32D4">
              <w:rPr>
                <w:sz w:val="18"/>
                <w:szCs w:val="18"/>
              </w:rPr>
              <w:t xml:space="preserve"> as a result of division of family property between him and his sister. Later he</w:t>
            </w:r>
            <w:r w:rsidRPr="001F32D4" w:rsidR="00871570">
              <w:rPr>
                <w:sz w:val="18"/>
                <w:szCs w:val="18"/>
              </w:rPr>
              <w:t xml:space="preserve"> bought more</w:t>
            </w:r>
            <w:r w:rsidRPr="001F32D4">
              <w:rPr>
                <w:sz w:val="18"/>
                <w:szCs w:val="18"/>
              </w:rPr>
              <w:t xml:space="preserve"> bonds</w:t>
            </w:r>
            <w:r w:rsidRPr="001F32D4" w:rsidR="00871570">
              <w:rPr>
                <w:sz w:val="18"/>
                <w:szCs w:val="18"/>
              </w:rPr>
              <w:t>.</w:t>
            </w:r>
          </w:p>
        </w:tc>
        <w:tc>
          <w:tcPr>
            <w:tcW w:w="1418" w:type="dxa"/>
          </w:tcPr>
          <w:p w:rsidRPr="001F32D4" w:rsidR="00871570" w:rsidP="001F32D4" w:rsidRDefault="0048420A">
            <w:pPr>
              <w:jc w:val="left"/>
              <w:rPr>
                <w:sz w:val="18"/>
                <w:szCs w:val="18"/>
              </w:rPr>
            </w:pPr>
            <w:r w:rsidRPr="001F32D4">
              <w:rPr>
                <w:sz w:val="18"/>
                <w:szCs w:val="18"/>
              </w:rPr>
              <w:t>EUR 65,700</w:t>
            </w:r>
          </w:p>
        </w:tc>
        <w:tc>
          <w:tcPr>
            <w:tcW w:w="1694" w:type="dxa"/>
          </w:tcPr>
          <w:p w:rsidRPr="001F32D4" w:rsidR="00871570" w:rsidP="001F32D4" w:rsidRDefault="0071324D">
            <w:pPr>
              <w:jc w:val="left"/>
              <w:rPr>
                <w:sz w:val="18"/>
                <w:szCs w:val="18"/>
              </w:rPr>
            </w:pPr>
            <w:r w:rsidRPr="001F32D4">
              <w:rPr>
                <w:sz w:val="18"/>
                <w:szCs w:val="18"/>
              </w:rPr>
              <w:t>EUR 1,791,642</w:t>
            </w:r>
          </w:p>
        </w:tc>
        <w:tc>
          <w:tcPr>
            <w:tcW w:w="1058" w:type="dxa"/>
          </w:tcPr>
          <w:p w:rsidRPr="001F32D4" w:rsidR="00871570" w:rsidP="001F32D4" w:rsidRDefault="0048420A">
            <w:pPr>
              <w:jc w:val="left"/>
              <w:rPr>
                <w:sz w:val="18"/>
                <w:szCs w:val="18"/>
              </w:rPr>
            </w:pPr>
            <w:r w:rsidRPr="001F32D4">
              <w:rPr>
                <w:sz w:val="18"/>
                <w:szCs w:val="18"/>
              </w:rPr>
              <w:t>EUR 3,163.01 (domestic and Strasbourg legal fees and postal expenses)</w:t>
            </w:r>
          </w:p>
        </w:tc>
      </w:tr>
      <w:tr w:rsidRPr="001F32D4" w:rsidR="00871570" w:rsidTr="00AB3A18">
        <w:tc>
          <w:tcPr>
            <w:tcW w:w="555" w:type="dxa"/>
          </w:tcPr>
          <w:p w:rsidRPr="001F32D4" w:rsidR="00871570" w:rsidP="001F32D4" w:rsidRDefault="00871570">
            <w:pPr>
              <w:pStyle w:val="ListParagraph"/>
              <w:numPr>
                <w:ilvl w:val="0"/>
                <w:numId w:val="17"/>
              </w:numPr>
              <w:tabs>
                <w:tab w:val="num" w:pos="283"/>
              </w:tabs>
              <w:ind w:left="0" w:firstLine="0"/>
              <w:jc w:val="left"/>
              <w:rPr>
                <w:sz w:val="18"/>
                <w:szCs w:val="18"/>
              </w:rPr>
            </w:pPr>
          </w:p>
        </w:tc>
        <w:tc>
          <w:tcPr>
            <w:tcW w:w="1373" w:type="dxa"/>
          </w:tcPr>
          <w:p w:rsidRPr="001F32D4" w:rsidR="00871570" w:rsidP="001F32D4" w:rsidRDefault="00871570">
            <w:pPr>
              <w:jc w:val="left"/>
              <w:rPr>
                <w:sz w:val="18"/>
                <w:szCs w:val="18"/>
              </w:rPr>
            </w:pPr>
            <w:r w:rsidRPr="001F32D4">
              <w:rPr>
                <w:sz w:val="18"/>
                <w:szCs w:val="18"/>
              </w:rPr>
              <w:t>1026/14</w:t>
            </w:r>
          </w:p>
        </w:tc>
        <w:tc>
          <w:tcPr>
            <w:tcW w:w="1274" w:type="dxa"/>
          </w:tcPr>
          <w:p w:rsidRPr="001F32D4" w:rsidR="00871570" w:rsidP="001F32D4" w:rsidRDefault="00871570">
            <w:pPr>
              <w:jc w:val="left"/>
              <w:rPr>
                <w:sz w:val="18"/>
                <w:szCs w:val="18"/>
              </w:rPr>
            </w:pPr>
            <w:r w:rsidRPr="001F32D4">
              <w:rPr>
                <w:sz w:val="18"/>
                <w:szCs w:val="18"/>
              </w:rPr>
              <w:t>30/12/2013</w:t>
            </w:r>
          </w:p>
        </w:tc>
        <w:tc>
          <w:tcPr>
            <w:tcW w:w="2133" w:type="dxa"/>
          </w:tcPr>
          <w:p w:rsidRPr="001F32D4" w:rsidR="001143E3" w:rsidP="001F32D4" w:rsidRDefault="00871570">
            <w:pPr>
              <w:jc w:val="left"/>
              <w:rPr>
                <w:b/>
                <w:sz w:val="18"/>
                <w:szCs w:val="18"/>
              </w:rPr>
            </w:pPr>
            <w:r w:rsidRPr="001F32D4">
              <w:rPr>
                <w:b/>
                <w:sz w:val="18"/>
                <w:szCs w:val="18"/>
              </w:rPr>
              <w:t xml:space="preserve">Andrey </w:t>
            </w:r>
            <w:proofErr w:type="spellStart"/>
            <w:r w:rsidRPr="001F32D4">
              <w:rPr>
                <w:b/>
                <w:sz w:val="18"/>
                <w:szCs w:val="18"/>
              </w:rPr>
              <w:t>Fedorovich</w:t>
            </w:r>
            <w:proofErr w:type="spellEnd"/>
            <w:r w:rsidRPr="001F32D4">
              <w:rPr>
                <w:b/>
                <w:sz w:val="18"/>
                <w:szCs w:val="18"/>
              </w:rPr>
              <w:t xml:space="preserve"> RUZANOV</w:t>
            </w:r>
          </w:p>
          <w:p w:rsidRPr="001F32D4" w:rsidR="00871570" w:rsidP="001F32D4" w:rsidRDefault="00871570">
            <w:pPr>
              <w:jc w:val="left"/>
              <w:rPr>
                <w:sz w:val="18"/>
                <w:szCs w:val="18"/>
              </w:rPr>
            </w:pPr>
            <w:r w:rsidRPr="001F32D4">
              <w:rPr>
                <w:sz w:val="18"/>
                <w:szCs w:val="18"/>
              </w:rPr>
              <w:t>31/08/1962</w:t>
            </w:r>
          </w:p>
          <w:p w:rsidRPr="001F32D4" w:rsidR="00871570" w:rsidP="001F32D4" w:rsidRDefault="00ED400F">
            <w:pPr>
              <w:jc w:val="left"/>
              <w:rPr>
                <w:sz w:val="18"/>
                <w:szCs w:val="18"/>
              </w:rPr>
            </w:pPr>
            <w:r w:rsidRPr="001F32D4">
              <w:rPr>
                <w:sz w:val="18"/>
                <w:szCs w:val="18"/>
              </w:rPr>
              <w:t>Volgograd Region</w:t>
            </w:r>
          </w:p>
          <w:p w:rsidRPr="001F32D4" w:rsidR="00871570" w:rsidP="001F32D4" w:rsidRDefault="00871570">
            <w:pPr>
              <w:jc w:val="left"/>
              <w:rPr>
                <w:sz w:val="18"/>
                <w:szCs w:val="18"/>
              </w:rPr>
            </w:pPr>
            <w:r w:rsidRPr="001F32D4">
              <w:rPr>
                <w:sz w:val="18"/>
                <w:szCs w:val="18"/>
              </w:rPr>
              <w:t>Represented by</w:t>
            </w:r>
          </w:p>
          <w:p w:rsidRPr="001F32D4" w:rsidR="00871570" w:rsidP="001F32D4" w:rsidRDefault="00871570">
            <w:pPr>
              <w:jc w:val="left"/>
              <w:rPr>
                <w:sz w:val="18"/>
                <w:szCs w:val="18"/>
              </w:rPr>
            </w:pPr>
            <w:r w:rsidRPr="001F32D4">
              <w:rPr>
                <w:sz w:val="18"/>
                <w:szCs w:val="18"/>
              </w:rPr>
              <w:t xml:space="preserve">Ms N. </w:t>
            </w:r>
            <w:proofErr w:type="spellStart"/>
            <w:r w:rsidRPr="001F32D4">
              <w:rPr>
                <w:sz w:val="18"/>
                <w:szCs w:val="18"/>
              </w:rPr>
              <w:t>Ichim</w:t>
            </w:r>
            <w:proofErr w:type="spellEnd"/>
          </w:p>
          <w:p w:rsidRPr="001F32D4" w:rsidR="00871570" w:rsidP="001F32D4" w:rsidRDefault="00871570">
            <w:pPr>
              <w:jc w:val="left"/>
              <w:rPr>
                <w:sz w:val="18"/>
                <w:szCs w:val="18"/>
              </w:rPr>
            </w:pPr>
          </w:p>
        </w:tc>
        <w:tc>
          <w:tcPr>
            <w:tcW w:w="1300" w:type="dxa"/>
          </w:tcPr>
          <w:p w:rsidRPr="001F32D4" w:rsidR="00871570" w:rsidP="001F32D4" w:rsidRDefault="00871570">
            <w:pPr>
              <w:jc w:val="left"/>
              <w:rPr>
                <w:sz w:val="18"/>
                <w:szCs w:val="18"/>
              </w:rPr>
            </w:pPr>
            <w:r w:rsidRPr="001F32D4">
              <w:rPr>
                <w:sz w:val="18"/>
                <w:szCs w:val="18"/>
              </w:rPr>
              <w:t>SUR 149,500</w:t>
            </w:r>
          </w:p>
        </w:tc>
        <w:tc>
          <w:tcPr>
            <w:tcW w:w="1701" w:type="dxa"/>
          </w:tcPr>
          <w:p w:rsidRPr="001F32D4" w:rsidR="00871570" w:rsidP="001F32D4" w:rsidRDefault="007F5F74">
            <w:pPr>
              <w:jc w:val="left"/>
              <w:rPr>
                <w:sz w:val="18"/>
                <w:szCs w:val="18"/>
              </w:rPr>
            </w:pPr>
            <w:r w:rsidRPr="001F32D4">
              <w:rPr>
                <w:sz w:val="18"/>
                <w:szCs w:val="18"/>
              </w:rPr>
              <w:t>No reply.</w:t>
            </w:r>
          </w:p>
        </w:tc>
        <w:tc>
          <w:tcPr>
            <w:tcW w:w="1418" w:type="dxa"/>
          </w:tcPr>
          <w:p w:rsidRPr="001F32D4" w:rsidR="00871570" w:rsidP="001F32D4" w:rsidRDefault="007F5F74">
            <w:pPr>
              <w:jc w:val="left"/>
              <w:rPr>
                <w:sz w:val="18"/>
                <w:szCs w:val="18"/>
              </w:rPr>
            </w:pPr>
            <w:r w:rsidRPr="001F32D4">
              <w:rPr>
                <w:sz w:val="18"/>
                <w:szCs w:val="18"/>
              </w:rPr>
              <w:t>EUR 5,000</w:t>
            </w:r>
          </w:p>
        </w:tc>
        <w:tc>
          <w:tcPr>
            <w:tcW w:w="1694" w:type="dxa"/>
          </w:tcPr>
          <w:p w:rsidRPr="001F32D4" w:rsidR="00871570" w:rsidP="001F32D4" w:rsidRDefault="00ED400F">
            <w:pPr>
              <w:jc w:val="left"/>
              <w:rPr>
                <w:sz w:val="18"/>
                <w:szCs w:val="18"/>
              </w:rPr>
            </w:pPr>
            <w:r w:rsidRPr="001F32D4">
              <w:rPr>
                <w:sz w:val="18"/>
                <w:szCs w:val="18"/>
              </w:rPr>
              <w:t>EUR 1,073,320</w:t>
            </w:r>
          </w:p>
        </w:tc>
        <w:tc>
          <w:tcPr>
            <w:tcW w:w="1058" w:type="dxa"/>
          </w:tcPr>
          <w:p w:rsidRPr="001F32D4" w:rsidR="00871570" w:rsidP="001F32D4" w:rsidRDefault="00ED400F">
            <w:pPr>
              <w:jc w:val="left"/>
              <w:rPr>
                <w:sz w:val="18"/>
                <w:szCs w:val="18"/>
              </w:rPr>
            </w:pPr>
            <w:r w:rsidRPr="001F32D4">
              <w:rPr>
                <w:sz w:val="18"/>
                <w:szCs w:val="18"/>
              </w:rPr>
              <w:t>EUR 2,500 (legal fees)</w:t>
            </w:r>
          </w:p>
        </w:tc>
      </w:tr>
      <w:tr w:rsidRPr="001F32D4" w:rsidR="00871570" w:rsidTr="00AB3A18">
        <w:tc>
          <w:tcPr>
            <w:tcW w:w="555" w:type="dxa"/>
          </w:tcPr>
          <w:p w:rsidRPr="001F32D4" w:rsidR="00871570" w:rsidP="001F32D4" w:rsidRDefault="00871570">
            <w:pPr>
              <w:pStyle w:val="ListParagraph"/>
              <w:keepLines/>
              <w:pageBreakBefore/>
              <w:numPr>
                <w:ilvl w:val="0"/>
                <w:numId w:val="17"/>
              </w:numPr>
              <w:tabs>
                <w:tab w:val="num" w:pos="283"/>
              </w:tabs>
              <w:ind w:left="0" w:firstLine="0"/>
              <w:jc w:val="left"/>
              <w:rPr>
                <w:sz w:val="18"/>
                <w:szCs w:val="18"/>
              </w:rPr>
            </w:pPr>
          </w:p>
        </w:tc>
        <w:tc>
          <w:tcPr>
            <w:tcW w:w="1373" w:type="dxa"/>
          </w:tcPr>
          <w:p w:rsidRPr="001F32D4" w:rsidR="00871570" w:rsidP="001F32D4" w:rsidRDefault="00871570">
            <w:pPr>
              <w:keepLines/>
              <w:pageBreakBefore/>
              <w:jc w:val="left"/>
              <w:rPr>
                <w:sz w:val="18"/>
                <w:szCs w:val="18"/>
              </w:rPr>
            </w:pPr>
            <w:r w:rsidRPr="001F32D4">
              <w:rPr>
                <w:sz w:val="18"/>
                <w:szCs w:val="18"/>
              </w:rPr>
              <w:t>28411/14</w:t>
            </w:r>
          </w:p>
        </w:tc>
        <w:tc>
          <w:tcPr>
            <w:tcW w:w="1274" w:type="dxa"/>
          </w:tcPr>
          <w:p w:rsidRPr="001F32D4" w:rsidR="00871570" w:rsidP="001F32D4" w:rsidRDefault="00871570">
            <w:pPr>
              <w:keepLines/>
              <w:pageBreakBefore/>
              <w:jc w:val="left"/>
              <w:rPr>
                <w:sz w:val="18"/>
                <w:szCs w:val="18"/>
              </w:rPr>
            </w:pPr>
            <w:r w:rsidRPr="001F32D4">
              <w:rPr>
                <w:sz w:val="18"/>
                <w:szCs w:val="18"/>
              </w:rPr>
              <w:t>23/09/2013</w:t>
            </w:r>
          </w:p>
        </w:tc>
        <w:tc>
          <w:tcPr>
            <w:tcW w:w="2133" w:type="dxa"/>
          </w:tcPr>
          <w:p w:rsidRPr="001F32D4" w:rsidR="001143E3" w:rsidP="001F32D4" w:rsidRDefault="00871570">
            <w:pPr>
              <w:keepLines/>
              <w:pageBreakBefore/>
              <w:jc w:val="left"/>
              <w:rPr>
                <w:b/>
                <w:sz w:val="18"/>
                <w:szCs w:val="18"/>
              </w:rPr>
            </w:pPr>
            <w:proofErr w:type="spellStart"/>
            <w:r w:rsidRPr="001F32D4">
              <w:rPr>
                <w:b/>
                <w:sz w:val="18"/>
                <w:szCs w:val="18"/>
              </w:rPr>
              <w:t>Aleksandr</w:t>
            </w:r>
            <w:proofErr w:type="spellEnd"/>
            <w:r w:rsidRPr="001F32D4">
              <w:rPr>
                <w:b/>
                <w:sz w:val="18"/>
                <w:szCs w:val="18"/>
              </w:rPr>
              <w:t xml:space="preserve"> </w:t>
            </w:r>
            <w:proofErr w:type="spellStart"/>
            <w:r w:rsidRPr="001F32D4">
              <w:rPr>
                <w:b/>
                <w:sz w:val="18"/>
                <w:szCs w:val="18"/>
              </w:rPr>
              <w:t>Valeryevich</w:t>
            </w:r>
            <w:proofErr w:type="spellEnd"/>
            <w:r w:rsidRPr="001F32D4">
              <w:rPr>
                <w:b/>
                <w:sz w:val="18"/>
                <w:szCs w:val="18"/>
              </w:rPr>
              <w:t xml:space="preserve"> ZHELTOV</w:t>
            </w:r>
          </w:p>
          <w:p w:rsidRPr="001F32D4" w:rsidR="00871570" w:rsidP="001F32D4" w:rsidRDefault="00871570">
            <w:pPr>
              <w:keepLines/>
              <w:pageBreakBefore/>
              <w:jc w:val="left"/>
              <w:rPr>
                <w:sz w:val="18"/>
                <w:szCs w:val="18"/>
              </w:rPr>
            </w:pPr>
            <w:r w:rsidRPr="001F32D4">
              <w:rPr>
                <w:sz w:val="18"/>
                <w:szCs w:val="18"/>
              </w:rPr>
              <w:t>09/08/1973</w:t>
            </w:r>
          </w:p>
          <w:p w:rsidRPr="001F32D4" w:rsidR="00871570" w:rsidP="001F32D4" w:rsidRDefault="00871570">
            <w:pPr>
              <w:keepLines/>
              <w:pageBreakBefore/>
              <w:jc w:val="left"/>
              <w:rPr>
                <w:sz w:val="18"/>
                <w:szCs w:val="18"/>
              </w:rPr>
            </w:pPr>
            <w:proofErr w:type="spellStart"/>
            <w:r w:rsidRPr="001F32D4">
              <w:rPr>
                <w:sz w:val="18"/>
                <w:szCs w:val="18"/>
              </w:rPr>
              <w:t>Volsk</w:t>
            </w:r>
            <w:proofErr w:type="spellEnd"/>
          </w:p>
          <w:p w:rsidRPr="001F32D4" w:rsidR="00871570" w:rsidP="001F32D4" w:rsidRDefault="00871570">
            <w:pPr>
              <w:keepLines/>
              <w:pageBreakBefore/>
              <w:jc w:val="left"/>
              <w:rPr>
                <w:sz w:val="18"/>
                <w:szCs w:val="18"/>
              </w:rPr>
            </w:pPr>
            <w:r w:rsidRPr="001F32D4">
              <w:rPr>
                <w:sz w:val="18"/>
                <w:szCs w:val="18"/>
              </w:rPr>
              <w:t>Represented by</w:t>
            </w:r>
          </w:p>
          <w:p w:rsidRPr="001F32D4" w:rsidR="00871570" w:rsidP="001F32D4" w:rsidRDefault="00871570">
            <w:pPr>
              <w:keepLines/>
              <w:pageBreakBefore/>
              <w:jc w:val="left"/>
              <w:rPr>
                <w:sz w:val="18"/>
                <w:szCs w:val="18"/>
              </w:rPr>
            </w:pPr>
            <w:r w:rsidRPr="001F32D4">
              <w:rPr>
                <w:sz w:val="18"/>
                <w:szCs w:val="18"/>
              </w:rPr>
              <w:t xml:space="preserve">Mr A. </w:t>
            </w:r>
            <w:proofErr w:type="spellStart"/>
            <w:r w:rsidRPr="001F32D4">
              <w:rPr>
                <w:sz w:val="18"/>
                <w:szCs w:val="18"/>
              </w:rPr>
              <w:t>Vologin</w:t>
            </w:r>
            <w:proofErr w:type="spellEnd"/>
            <w:r w:rsidRPr="001F32D4">
              <w:rPr>
                <w:sz w:val="18"/>
                <w:szCs w:val="18"/>
              </w:rPr>
              <w:br/>
            </w:r>
          </w:p>
        </w:tc>
        <w:tc>
          <w:tcPr>
            <w:tcW w:w="1300" w:type="dxa"/>
          </w:tcPr>
          <w:p w:rsidRPr="001F32D4" w:rsidR="00871570" w:rsidP="001F32D4" w:rsidRDefault="00871570">
            <w:pPr>
              <w:keepLines/>
              <w:pageBreakBefore/>
              <w:jc w:val="left"/>
              <w:rPr>
                <w:sz w:val="18"/>
                <w:szCs w:val="18"/>
              </w:rPr>
            </w:pPr>
            <w:r w:rsidRPr="001F32D4">
              <w:rPr>
                <w:sz w:val="18"/>
                <w:szCs w:val="18"/>
              </w:rPr>
              <w:t>SUR 25</w:t>
            </w:r>
            <w:r w:rsidRPr="001F32D4">
              <w:rPr>
                <w:sz w:val="18"/>
                <w:szCs w:val="18"/>
              </w:rPr>
              <w:br/>
              <w:t>(application form)</w:t>
            </w:r>
            <w:r w:rsidRPr="001F32D4">
              <w:rPr>
                <w:sz w:val="18"/>
                <w:szCs w:val="18"/>
              </w:rPr>
              <w:br/>
              <w:t>DOR 43,555</w:t>
            </w:r>
            <w:r w:rsidRPr="001F32D4">
              <w:rPr>
                <w:sz w:val="18"/>
                <w:szCs w:val="18"/>
              </w:rPr>
              <w:br/>
              <w:t>(claims)</w:t>
            </w:r>
          </w:p>
        </w:tc>
        <w:tc>
          <w:tcPr>
            <w:tcW w:w="1701" w:type="dxa"/>
          </w:tcPr>
          <w:p w:rsidRPr="001F32D4" w:rsidR="00871570" w:rsidP="001F32D4" w:rsidRDefault="00871570">
            <w:pPr>
              <w:keepLines/>
              <w:pageBreakBefore/>
              <w:jc w:val="left"/>
              <w:rPr>
                <w:sz w:val="18"/>
                <w:szCs w:val="18"/>
              </w:rPr>
            </w:pPr>
            <w:r w:rsidRPr="001F32D4">
              <w:rPr>
                <w:sz w:val="18"/>
                <w:szCs w:val="18"/>
              </w:rPr>
              <w:t>No reply.</w:t>
            </w:r>
          </w:p>
        </w:tc>
        <w:tc>
          <w:tcPr>
            <w:tcW w:w="1418" w:type="dxa"/>
          </w:tcPr>
          <w:p w:rsidRPr="001F32D4" w:rsidR="00871570" w:rsidP="001F32D4" w:rsidRDefault="00871570">
            <w:pPr>
              <w:keepLines/>
              <w:pageBreakBefore/>
              <w:jc w:val="left"/>
              <w:rPr>
                <w:sz w:val="18"/>
                <w:szCs w:val="18"/>
              </w:rPr>
            </w:pPr>
            <w:r w:rsidRPr="001F32D4">
              <w:rPr>
                <w:sz w:val="18"/>
                <w:szCs w:val="18"/>
              </w:rPr>
              <w:t>EUR 100,000</w:t>
            </w:r>
          </w:p>
        </w:tc>
        <w:tc>
          <w:tcPr>
            <w:tcW w:w="1694" w:type="dxa"/>
          </w:tcPr>
          <w:p w:rsidRPr="001F32D4" w:rsidR="00871570" w:rsidP="001F32D4" w:rsidRDefault="0071324D">
            <w:pPr>
              <w:keepLines/>
              <w:pageBreakBefore/>
              <w:jc w:val="left"/>
              <w:rPr>
                <w:sz w:val="18"/>
                <w:szCs w:val="18"/>
              </w:rPr>
            </w:pPr>
            <w:r w:rsidRPr="001F32D4">
              <w:rPr>
                <w:sz w:val="18"/>
                <w:szCs w:val="18"/>
              </w:rPr>
              <w:t>EUR 163,069</w:t>
            </w:r>
          </w:p>
        </w:tc>
        <w:tc>
          <w:tcPr>
            <w:tcW w:w="1058" w:type="dxa"/>
          </w:tcPr>
          <w:p w:rsidRPr="001F32D4" w:rsidR="00871570" w:rsidP="001F32D4" w:rsidRDefault="00AE64E7">
            <w:pPr>
              <w:keepLines/>
              <w:pageBreakBefore/>
              <w:jc w:val="left"/>
              <w:rPr>
                <w:sz w:val="18"/>
                <w:szCs w:val="18"/>
              </w:rPr>
            </w:pPr>
            <w:r w:rsidRPr="001F32D4">
              <w:rPr>
                <w:sz w:val="18"/>
                <w:szCs w:val="18"/>
              </w:rPr>
              <w:t>Not claimed.</w:t>
            </w:r>
          </w:p>
        </w:tc>
      </w:tr>
      <w:tr w:rsidRPr="001F32D4" w:rsidR="00871570" w:rsidTr="00AB3A18">
        <w:tc>
          <w:tcPr>
            <w:tcW w:w="555" w:type="dxa"/>
          </w:tcPr>
          <w:p w:rsidRPr="001F32D4" w:rsidR="00871570" w:rsidP="001F32D4" w:rsidRDefault="00871570">
            <w:pPr>
              <w:pStyle w:val="ListParagraph"/>
              <w:numPr>
                <w:ilvl w:val="0"/>
                <w:numId w:val="17"/>
              </w:numPr>
              <w:tabs>
                <w:tab w:val="num" w:pos="283"/>
              </w:tabs>
              <w:ind w:left="0" w:firstLine="0"/>
              <w:jc w:val="left"/>
              <w:rPr>
                <w:sz w:val="18"/>
                <w:szCs w:val="18"/>
              </w:rPr>
            </w:pPr>
          </w:p>
        </w:tc>
        <w:tc>
          <w:tcPr>
            <w:tcW w:w="1373" w:type="dxa"/>
          </w:tcPr>
          <w:p w:rsidRPr="001F32D4" w:rsidR="00871570" w:rsidP="001F32D4" w:rsidRDefault="00871570">
            <w:pPr>
              <w:jc w:val="left"/>
              <w:rPr>
                <w:sz w:val="18"/>
                <w:szCs w:val="18"/>
              </w:rPr>
            </w:pPr>
            <w:r w:rsidRPr="001F32D4">
              <w:rPr>
                <w:sz w:val="18"/>
                <w:szCs w:val="18"/>
              </w:rPr>
              <w:t>32615/14</w:t>
            </w:r>
          </w:p>
        </w:tc>
        <w:tc>
          <w:tcPr>
            <w:tcW w:w="1274" w:type="dxa"/>
          </w:tcPr>
          <w:p w:rsidRPr="001F32D4" w:rsidR="00871570" w:rsidP="001F32D4" w:rsidRDefault="00871570">
            <w:pPr>
              <w:jc w:val="left"/>
              <w:rPr>
                <w:sz w:val="18"/>
                <w:szCs w:val="18"/>
              </w:rPr>
            </w:pPr>
            <w:r w:rsidRPr="001F32D4">
              <w:rPr>
                <w:sz w:val="18"/>
                <w:szCs w:val="18"/>
              </w:rPr>
              <w:t>23/04/2014</w:t>
            </w:r>
          </w:p>
        </w:tc>
        <w:tc>
          <w:tcPr>
            <w:tcW w:w="2133" w:type="dxa"/>
          </w:tcPr>
          <w:p w:rsidRPr="001F32D4" w:rsidR="001143E3" w:rsidP="001F32D4" w:rsidRDefault="00871570">
            <w:pPr>
              <w:jc w:val="left"/>
              <w:rPr>
                <w:b/>
                <w:sz w:val="18"/>
                <w:szCs w:val="18"/>
              </w:rPr>
            </w:pPr>
            <w:r w:rsidRPr="001F32D4">
              <w:rPr>
                <w:b/>
                <w:sz w:val="18"/>
                <w:szCs w:val="18"/>
              </w:rPr>
              <w:t xml:space="preserve">Andrey </w:t>
            </w:r>
            <w:proofErr w:type="spellStart"/>
            <w:r w:rsidRPr="001F32D4">
              <w:rPr>
                <w:b/>
                <w:sz w:val="18"/>
                <w:szCs w:val="18"/>
              </w:rPr>
              <w:t>Semenovich</w:t>
            </w:r>
            <w:proofErr w:type="spellEnd"/>
            <w:r w:rsidRPr="001F32D4">
              <w:rPr>
                <w:b/>
                <w:sz w:val="18"/>
                <w:szCs w:val="18"/>
              </w:rPr>
              <w:t xml:space="preserve"> LAPTEV</w:t>
            </w:r>
          </w:p>
          <w:p w:rsidRPr="001F32D4" w:rsidR="00871570" w:rsidP="001F32D4" w:rsidRDefault="00871570">
            <w:pPr>
              <w:jc w:val="left"/>
              <w:rPr>
                <w:sz w:val="18"/>
                <w:szCs w:val="18"/>
              </w:rPr>
            </w:pPr>
            <w:r w:rsidRPr="001F32D4">
              <w:rPr>
                <w:sz w:val="18"/>
                <w:szCs w:val="18"/>
              </w:rPr>
              <w:t>03/11/1981</w:t>
            </w:r>
          </w:p>
          <w:p w:rsidRPr="001F32D4" w:rsidR="00871570" w:rsidP="001F32D4" w:rsidRDefault="00871570">
            <w:pPr>
              <w:jc w:val="left"/>
              <w:rPr>
                <w:sz w:val="18"/>
                <w:szCs w:val="18"/>
              </w:rPr>
            </w:pPr>
            <w:r w:rsidRPr="001F32D4">
              <w:rPr>
                <w:sz w:val="18"/>
                <w:szCs w:val="18"/>
              </w:rPr>
              <w:t>Krasnodar Region</w:t>
            </w:r>
          </w:p>
          <w:p w:rsidRPr="001F32D4" w:rsidR="00871570" w:rsidP="001F32D4" w:rsidRDefault="00871570">
            <w:pPr>
              <w:jc w:val="left"/>
              <w:rPr>
                <w:sz w:val="18"/>
                <w:szCs w:val="18"/>
              </w:rPr>
            </w:pPr>
          </w:p>
        </w:tc>
        <w:tc>
          <w:tcPr>
            <w:tcW w:w="1300" w:type="dxa"/>
          </w:tcPr>
          <w:p w:rsidRPr="001F32D4" w:rsidR="00871570" w:rsidP="001F32D4" w:rsidRDefault="00871570">
            <w:pPr>
              <w:jc w:val="left"/>
              <w:rPr>
                <w:sz w:val="18"/>
                <w:szCs w:val="18"/>
              </w:rPr>
            </w:pPr>
            <w:r w:rsidRPr="001F32D4">
              <w:rPr>
                <w:sz w:val="18"/>
                <w:szCs w:val="18"/>
              </w:rPr>
              <w:t>SUR 400</w:t>
            </w:r>
          </w:p>
        </w:tc>
        <w:tc>
          <w:tcPr>
            <w:tcW w:w="1701" w:type="dxa"/>
          </w:tcPr>
          <w:p w:rsidRPr="001F32D4" w:rsidR="00871570" w:rsidP="001F32D4" w:rsidRDefault="00D452EF">
            <w:pPr>
              <w:jc w:val="left"/>
              <w:rPr>
                <w:sz w:val="18"/>
                <w:szCs w:val="18"/>
              </w:rPr>
            </w:pPr>
            <w:r w:rsidRPr="001F32D4">
              <w:rPr>
                <w:sz w:val="18"/>
                <w:szCs w:val="18"/>
              </w:rPr>
              <w:t xml:space="preserve">Purchased by his </w:t>
            </w:r>
            <w:r w:rsidRPr="001F32D4" w:rsidR="000015AC">
              <w:rPr>
                <w:sz w:val="18"/>
                <w:szCs w:val="18"/>
              </w:rPr>
              <w:t xml:space="preserve">grandmother </w:t>
            </w:r>
            <w:r w:rsidRPr="001F32D4">
              <w:rPr>
                <w:sz w:val="18"/>
                <w:szCs w:val="18"/>
              </w:rPr>
              <w:t xml:space="preserve">from the Savings Bank and given to him as a present </w:t>
            </w:r>
            <w:r w:rsidRPr="001F32D4" w:rsidR="000015AC">
              <w:rPr>
                <w:sz w:val="18"/>
                <w:szCs w:val="18"/>
              </w:rPr>
              <w:t>in the autumn of 1982.</w:t>
            </w:r>
          </w:p>
        </w:tc>
        <w:tc>
          <w:tcPr>
            <w:tcW w:w="1418" w:type="dxa"/>
          </w:tcPr>
          <w:p w:rsidRPr="001F32D4" w:rsidR="00871570" w:rsidP="001F32D4" w:rsidRDefault="000015AC">
            <w:pPr>
              <w:jc w:val="left"/>
              <w:rPr>
                <w:sz w:val="18"/>
                <w:szCs w:val="18"/>
              </w:rPr>
            </w:pPr>
            <w:r w:rsidRPr="001F32D4">
              <w:rPr>
                <w:sz w:val="18"/>
                <w:szCs w:val="18"/>
              </w:rPr>
              <w:t>EUR 1,800</w:t>
            </w:r>
          </w:p>
        </w:tc>
        <w:tc>
          <w:tcPr>
            <w:tcW w:w="1694" w:type="dxa"/>
          </w:tcPr>
          <w:p w:rsidRPr="001F32D4" w:rsidR="00871570" w:rsidP="001F32D4" w:rsidRDefault="000015AC">
            <w:pPr>
              <w:jc w:val="left"/>
              <w:rPr>
                <w:sz w:val="18"/>
                <w:szCs w:val="18"/>
              </w:rPr>
            </w:pPr>
            <w:r w:rsidRPr="001F32D4">
              <w:rPr>
                <w:sz w:val="18"/>
                <w:szCs w:val="18"/>
              </w:rPr>
              <w:t>RUB 57,600</w:t>
            </w:r>
            <w:r w:rsidRPr="001F32D4" w:rsidR="00E627D6">
              <w:rPr>
                <w:sz w:val="18"/>
                <w:szCs w:val="18"/>
              </w:rPr>
              <w:br/>
              <w:t xml:space="preserve">[EUR </w:t>
            </w:r>
            <w:r w:rsidRPr="001F32D4" w:rsidR="00F20454">
              <w:rPr>
                <w:sz w:val="18"/>
                <w:szCs w:val="18"/>
              </w:rPr>
              <w:t>822</w:t>
            </w:r>
            <w:r w:rsidRPr="001F32D4" w:rsidR="00E627D6">
              <w:rPr>
                <w:sz w:val="18"/>
                <w:szCs w:val="18"/>
              </w:rPr>
              <w:t>]</w:t>
            </w:r>
          </w:p>
        </w:tc>
        <w:tc>
          <w:tcPr>
            <w:tcW w:w="1058" w:type="dxa"/>
          </w:tcPr>
          <w:p w:rsidRPr="001F32D4" w:rsidR="00871570" w:rsidP="001F32D4" w:rsidRDefault="000015AC">
            <w:pPr>
              <w:jc w:val="left"/>
              <w:rPr>
                <w:sz w:val="18"/>
                <w:szCs w:val="18"/>
              </w:rPr>
            </w:pPr>
            <w:r w:rsidRPr="001F32D4">
              <w:rPr>
                <w:sz w:val="18"/>
                <w:szCs w:val="18"/>
              </w:rPr>
              <w:t>EUR 30 (postal expenses)</w:t>
            </w:r>
          </w:p>
        </w:tc>
      </w:tr>
      <w:tr w:rsidRPr="001F32D4" w:rsidR="00871570" w:rsidTr="00AB3A18">
        <w:tc>
          <w:tcPr>
            <w:tcW w:w="555" w:type="dxa"/>
          </w:tcPr>
          <w:p w:rsidRPr="001F32D4" w:rsidR="00871570" w:rsidP="001F32D4" w:rsidRDefault="00871570">
            <w:pPr>
              <w:pStyle w:val="ListParagraph"/>
              <w:numPr>
                <w:ilvl w:val="0"/>
                <w:numId w:val="17"/>
              </w:numPr>
              <w:tabs>
                <w:tab w:val="num" w:pos="283"/>
              </w:tabs>
              <w:ind w:left="0" w:firstLine="0"/>
              <w:jc w:val="left"/>
              <w:rPr>
                <w:sz w:val="18"/>
                <w:szCs w:val="18"/>
              </w:rPr>
            </w:pPr>
          </w:p>
        </w:tc>
        <w:tc>
          <w:tcPr>
            <w:tcW w:w="1373" w:type="dxa"/>
          </w:tcPr>
          <w:p w:rsidRPr="001F32D4" w:rsidR="00871570" w:rsidP="001F32D4" w:rsidRDefault="00871570">
            <w:pPr>
              <w:jc w:val="left"/>
              <w:rPr>
                <w:sz w:val="18"/>
                <w:szCs w:val="18"/>
              </w:rPr>
            </w:pPr>
            <w:r w:rsidRPr="001F32D4">
              <w:rPr>
                <w:sz w:val="18"/>
                <w:szCs w:val="18"/>
              </w:rPr>
              <w:t>27904/15</w:t>
            </w:r>
          </w:p>
        </w:tc>
        <w:tc>
          <w:tcPr>
            <w:tcW w:w="1274" w:type="dxa"/>
          </w:tcPr>
          <w:p w:rsidRPr="001F32D4" w:rsidR="00871570" w:rsidP="001F32D4" w:rsidRDefault="00871570">
            <w:pPr>
              <w:jc w:val="left"/>
              <w:rPr>
                <w:sz w:val="18"/>
                <w:szCs w:val="18"/>
              </w:rPr>
            </w:pPr>
            <w:r w:rsidRPr="001F32D4">
              <w:rPr>
                <w:sz w:val="18"/>
                <w:szCs w:val="18"/>
              </w:rPr>
              <w:t>26/05/2015</w:t>
            </w:r>
          </w:p>
        </w:tc>
        <w:tc>
          <w:tcPr>
            <w:tcW w:w="2133" w:type="dxa"/>
          </w:tcPr>
          <w:p w:rsidRPr="001F32D4" w:rsidR="001143E3" w:rsidP="001F32D4" w:rsidRDefault="00871570">
            <w:pPr>
              <w:jc w:val="left"/>
              <w:rPr>
                <w:b/>
                <w:sz w:val="18"/>
                <w:szCs w:val="18"/>
              </w:rPr>
            </w:pPr>
            <w:proofErr w:type="spellStart"/>
            <w:r w:rsidRPr="001F32D4">
              <w:rPr>
                <w:b/>
                <w:sz w:val="18"/>
                <w:szCs w:val="18"/>
              </w:rPr>
              <w:t>Vyacheslav</w:t>
            </w:r>
            <w:proofErr w:type="spellEnd"/>
            <w:r w:rsidRPr="001F32D4">
              <w:rPr>
                <w:b/>
                <w:sz w:val="18"/>
                <w:szCs w:val="18"/>
              </w:rPr>
              <w:t xml:space="preserve"> Nikolayevich SEVASTYANOV</w:t>
            </w:r>
          </w:p>
          <w:p w:rsidRPr="001F32D4" w:rsidR="00871570" w:rsidP="001F32D4" w:rsidRDefault="00871570">
            <w:pPr>
              <w:jc w:val="left"/>
              <w:rPr>
                <w:sz w:val="18"/>
                <w:szCs w:val="18"/>
              </w:rPr>
            </w:pPr>
            <w:r w:rsidRPr="001F32D4">
              <w:rPr>
                <w:sz w:val="18"/>
                <w:szCs w:val="18"/>
              </w:rPr>
              <w:t>11/12/1945</w:t>
            </w:r>
          </w:p>
          <w:p w:rsidRPr="001F32D4" w:rsidR="00871570" w:rsidP="001F32D4" w:rsidRDefault="00871570">
            <w:pPr>
              <w:jc w:val="left"/>
              <w:rPr>
                <w:sz w:val="18"/>
                <w:szCs w:val="18"/>
              </w:rPr>
            </w:pPr>
            <w:proofErr w:type="spellStart"/>
            <w:r w:rsidRPr="001F32D4">
              <w:rPr>
                <w:sz w:val="18"/>
                <w:szCs w:val="18"/>
              </w:rPr>
              <w:t>Sergiyev</w:t>
            </w:r>
            <w:proofErr w:type="spellEnd"/>
            <w:r w:rsidRPr="001F32D4">
              <w:rPr>
                <w:sz w:val="18"/>
                <w:szCs w:val="18"/>
              </w:rPr>
              <w:t xml:space="preserve"> </w:t>
            </w:r>
            <w:proofErr w:type="spellStart"/>
            <w:r w:rsidRPr="001F32D4">
              <w:rPr>
                <w:sz w:val="18"/>
                <w:szCs w:val="18"/>
              </w:rPr>
              <w:t>Posad</w:t>
            </w:r>
            <w:proofErr w:type="spellEnd"/>
          </w:p>
          <w:p w:rsidRPr="001F32D4" w:rsidR="00871570" w:rsidP="001F32D4" w:rsidRDefault="00871570">
            <w:pPr>
              <w:jc w:val="left"/>
              <w:rPr>
                <w:sz w:val="18"/>
                <w:szCs w:val="18"/>
              </w:rPr>
            </w:pPr>
          </w:p>
        </w:tc>
        <w:tc>
          <w:tcPr>
            <w:tcW w:w="1300" w:type="dxa"/>
          </w:tcPr>
          <w:p w:rsidRPr="001F32D4" w:rsidR="00871570" w:rsidP="001F32D4" w:rsidRDefault="0069505A">
            <w:pPr>
              <w:jc w:val="left"/>
              <w:rPr>
                <w:sz w:val="18"/>
                <w:szCs w:val="18"/>
              </w:rPr>
            </w:pPr>
            <w:r w:rsidRPr="001F32D4">
              <w:rPr>
                <w:sz w:val="18"/>
                <w:szCs w:val="18"/>
              </w:rPr>
              <w:t>SUR 2,300</w:t>
            </w:r>
          </w:p>
        </w:tc>
        <w:tc>
          <w:tcPr>
            <w:tcW w:w="1701" w:type="dxa"/>
          </w:tcPr>
          <w:p w:rsidRPr="001F32D4" w:rsidR="00871570" w:rsidP="001F32D4" w:rsidRDefault="00EF4E9C">
            <w:pPr>
              <w:jc w:val="left"/>
              <w:rPr>
                <w:sz w:val="18"/>
                <w:szCs w:val="18"/>
              </w:rPr>
            </w:pPr>
            <w:r w:rsidRPr="001F32D4">
              <w:rPr>
                <w:sz w:val="18"/>
                <w:szCs w:val="18"/>
              </w:rPr>
              <w:t>Acquired in 1991.</w:t>
            </w:r>
          </w:p>
        </w:tc>
        <w:tc>
          <w:tcPr>
            <w:tcW w:w="1418" w:type="dxa"/>
          </w:tcPr>
          <w:p w:rsidRPr="001F32D4" w:rsidR="00871570" w:rsidP="001F32D4" w:rsidRDefault="0069505A">
            <w:pPr>
              <w:jc w:val="left"/>
              <w:rPr>
                <w:sz w:val="18"/>
                <w:szCs w:val="18"/>
              </w:rPr>
            </w:pPr>
            <w:r w:rsidRPr="001F32D4">
              <w:rPr>
                <w:sz w:val="18"/>
                <w:szCs w:val="18"/>
              </w:rPr>
              <w:t>EUR 2,550</w:t>
            </w:r>
          </w:p>
        </w:tc>
        <w:tc>
          <w:tcPr>
            <w:tcW w:w="1694" w:type="dxa"/>
          </w:tcPr>
          <w:p w:rsidRPr="001F32D4" w:rsidR="00871570" w:rsidP="001F32D4" w:rsidRDefault="0069505A">
            <w:pPr>
              <w:jc w:val="left"/>
              <w:rPr>
                <w:sz w:val="18"/>
                <w:szCs w:val="18"/>
              </w:rPr>
            </w:pPr>
            <w:r w:rsidRPr="001F32D4">
              <w:rPr>
                <w:sz w:val="18"/>
                <w:szCs w:val="18"/>
              </w:rPr>
              <w:t>EUR 7,425</w:t>
            </w:r>
          </w:p>
        </w:tc>
        <w:tc>
          <w:tcPr>
            <w:tcW w:w="1058" w:type="dxa"/>
          </w:tcPr>
          <w:p w:rsidRPr="001F32D4" w:rsidR="00871570" w:rsidP="001F32D4" w:rsidRDefault="0069505A">
            <w:pPr>
              <w:jc w:val="left"/>
              <w:rPr>
                <w:sz w:val="18"/>
                <w:szCs w:val="18"/>
              </w:rPr>
            </w:pPr>
            <w:r w:rsidRPr="001F32D4">
              <w:rPr>
                <w:sz w:val="18"/>
                <w:szCs w:val="18"/>
              </w:rPr>
              <w:t>EUR 486 (legal fees and postal expenses)</w:t>
            </w:r>
          </w:p>
        </w:tc>
      </w:tr>
      <w:tr w:rsidRPr="001F32D4" w:rsidR="00871570" w:rsidTr="00AB3A18">
        <w:tc>
          <w:tcPr>
            <w:tcW w:w="555" w:type="dxa"/>
          </w:tcPr>
          <w:p w:rsidRPr="001F32D4" w:rsidR="00871570" w:rsidP="001F32D4" w:rsidRDefault="00871570">
            <w:pPr>
              <w:pStyle w:val="ListParagraph"/>
              <w:numPr>
                <w:ilvl w:val="0"/>
                <w:numId w:val="17"/>
              </w:numPr>
              <w:tabs>
                <w:tab w:val="num" w:pos="283"/>
              </w:tabs>
              <w:ind w:left="0" w:firstLine="0"/>
              <w:jc w:val="left"/>
              <w:rPr>
                <w:sz w:val="18"/>
                <w:szCs w:val="18"/>
              </w:rPr>
            </w:pPr>
          </w:p>
        </w:tc>
        <w:tc>
          <w:tcPr>
            <w:tcW w:w="1373" w:type="dxa"/>
          </w:tcPr>
          <w:p w:rsidRPr="001F32D4" w:rsidR="00871570" w:rsidP="001F32D4" w:rsidRDefault="00871570">
            <w:pPr>
              <w:jc w:val="left"/>
              <w:rPr>
                <w:sz w:val="18"/>
                <w:szCs w:val="18"/>
              </w:rPr>
            </w:pPr>
            <w:r w:rsidRPr="001F32D4">
              <w:rPr>
                <w:sz w:val="18"/>
                <w:szCs w:val="18"/>
              </w:rPr>
              <w:t>9395/16</w:t>
            </w:r>
          </w:p>
        </w:tc>
        <w:tc>
          <w:tcPr>
            <w:tcW w:w="1274" w:type="dxa"/>
          </w:tcPr>
          <w:p w:rsidRPr="001F32D4" w:rsidR="00871570" w:rsidP="001F32D4" w:rsidRDefault="00871570">
            <w:pPr>
              <w:jc w:val="left"/>
              <w:rPr>
                <w:sz w:val="18"/>
                <w:szCs w:val="18"/>
              </w:rPr>
            </w:pPr>
            <w:r w:rsidRPr="001F32D4">
              <w:rPr>
                <w:sz w:val="18"/>
                <w:szCs w:val="18"/>
              </w:rPr>
              <w:t>03/02/2016</w:t>
            </w:r>
          </w:p>
        </w:tc>
        <w:tc>
          <w:tcPr>
            <w:tcW w:w="2133" w:type="dxa"/>
          </w:tcPr>
          <w:p w:rsidRPr="001F32D4" w:rsidR="001143E3" w:rsidP="001F32D4" w:rsidRDefault="00871570">
            <w:pPr>
              <w:jc w:val="left"/>
              <w:rPr>
                <w:b/>
                <w:sz w:val="18"/>
                <w:szCs w:val="18"/>
              </w:rPr>
            </w:pPr>
            <w:proofErr w:type="spellStart"/>
            <w:r w:rsidRPr="001F32D4">
              <w:rPr>
                <w:b/>
                <w:sz w:val="18"/>
                <w:szCs w:val="18"/>
              </w:rPr>
              <w:t>Yevgeniy</w:t>
            </w:r>
            <w:proofErr w:type="spellEnd"/>
            <w:r w:rsidRPr="001F32D4">
              <w:rPr>
                <w:b/>
                <w:sz w:val="18"/>
                <w:szCs w:val="18"/>
              </w:rPr>
              <w:t xml:space="preserve"> </w:t>
            </w:r>
            <w:proofErr w:type="spellStart"/>
            <w:r w:rsidRPr="001F32D4">
              <w:rPr>
                <w:b/>
                <w:sz w:val="18"/>
                <w:szCs w:val="18"/>
              </w:rPr>
              <w:t>Grigoryevich</w:t>
            </w:r>
            <w:proofErr w:type="spellEnd"/>
            <w:r w:rsidRPr="001F32D4">
              <w:rPr>
                <w:b/>
                <w:sz w:val="18"/>
                <w:szCs w:val="18"/>
              </w:rPr>
              <w:t xml:space="preserve"> KARAGEZOV</w:t>
            </w:r>
          </w:p>
          <w:p w:rsidRPr="001F32D4" w:rsidR="00871570" w:rsidP="001F32D4" w:rsidRDefault="00871570">
            <w:pPr>
              <w:jc w:val="left"/>
              <w:rPr>
                <w:sz w:val="18"/>
                <w:szCs w:val="18"/>
              </w:rPr>
            </w:pPr>
            <w:r w:rsidRPr="001F32D4">
              <w:rPr>
                <w:sz w:val="18"/>
                <w:szCs w:val="18"/>
              </w:rPr>
              <w:t>30/08/1940</w:t>
            </w:r>
          </w:p>
          <w:p w:rsidRPr="001F32D4" w:rsidR="00871570" w:rsidP="001F32D4" w:rsidRDefault="00871570">
            <w:pPr>
              <w:jc w:val="left"/>
              <w:rPr>
                <w:sz w:val="18"/>
                <w:szCs w:val="18"/>
              </w:rPr>
            </w:pPr>
            <w:r w:rsidRPr="001F32D4">
              <w:rPr>
                <w:sz w:val="18"/>
                <w:szCs w:val="18"/>
              </w:rPr>
              <w:t>Moscow</w:t>
            </w:r>
          </w:p>
          <w:p w:rsidRPr="001F32D4" w:rsidR="00871570" w:rsidP="001F32D4" w:rsidRDefault="00871570">
            <w:pPr>
              <w:jc w:val="left"/>
              <w:rPr>
                <w:sz w:val="18"/>
                <w:szCs w:val="18"/>
              </w:rPr>
            </w:pPr>
          </w:p>
        </w:tc>
        <w:tc>
          <w:tcPr>
            <w:tcW w:w="1300" w:type="dxa"/>
          </w:tcPr>
          <w:p w:rsidRPr="001F32D4" w:rsidR="00871570" w:rsidP="001F32D4" w:rsidRDefault="00871570">
            <w:pPr>
              <w:jc w:val="left"/>
              <w:rPr>
                <w:sz w:val="18"/>
                <w:szCs w:val="18"/>
              </w:rPr>
            </w:pPr>
            <w:bookmarkStart w:name="TableEnd" w:id="10"/>
            <w:bookmarkEnd w:id="10"/>
            <w:r w:rsidRPr="001F32D4">
              <w:rPr>
                <w:sz w:val="18"/>
                <w:szCs w:val="18"/>
              </w:rPr>
              <w:t xml:space="preserve">SUR 66,425 </w:t>
            </w:r>
          </w:p>
        </w:tc>
        <w:tc>
          <w:tcPr>
            <w:tcW w:w="1701" w:type="dxa"/>
          </w:tcPr>
          <w:p w:rsidRPr="001F32D4" w:rsidR="00871570" w:rsidP="001F32D4" w:rsidRDefault="0069505A">
            <w:pPr>
              <w:jc w:val="left"/>
              <w:rPr>
                <w:sz w:val="18"/>
                <w:szCs w:val="18"/>
              </w:rPr>
            </w:pPr>
            <w:r w:rsidRPr="001F32D4">
              <w:rPr>
                <w:sz w:val="18"/>
                <w:szCs w:val="18"/>
              </w:rPr>
              <w:t>Acquired in 1982-91. In 1983-86 his mean wage was SUR 670. In 1987-92 his mean wage was SUR 12,862.</w:t>
            </w:r>
          </w:p>
        </w:tc>
        <w:tc>
          <w:tcPr>
            <w:tcW w:w="1418" w:type="dxa"/>
          </w:tcPr>
          <w:p w:rsidRPr="001F32D4" w:rsidR="00871570" w:rsidP="001F32D4" w:rsidRDefault="00181096">
            <w:pPr>
              <w:jc w:val="left"/>
              <w:rPr>
                <w:sz w:val="18"/>
                <w:szCs w:val="18"/>
              </w:rPr>
            </w:pPr>
            <w:r w:rsidRPr="001F32D4">
              <w:rPr>
                <w:sz w:val="18"/>
                <w:szCs w:val="18"/>
              </w:rPr>
              <w:t>A</w:t>
            </w:r>
            <w:r w:rsidRPr="001F32D4" w:rsidR="0020583A">
              <w:rPr>
                <w:sz w:val="18"/>
                <w:szCs w:val="18"/>
              </w:rPr>
              <w:t>t</w:t>
            </w:r>
            <w:r w:rsidRPr="001F32D4">
              <w:rPr>
                <w:sz w:val="18"/>
                <w:szCs w:val="18"/>
              </w:rPr>
              <w:t xml:space="preserve"> the Court</w:t>
            </w:r>
            <w:r w:rsidRPr="001F32D4" w:rsidR="001F32D4">
              <w:rPr>
                <w:sz w:val="18"/>
                <w:szCs w:val="18"/>
              </w:rPr>
              <w:t>’</w:t>
            </w:r>
            <w:r w:rsidRPr="001F32D4">
              <w:rPr>
                <w:sz w:val="18"/>
                <w:szCs w:val="18"/>
              </w:rPr>
              <w:t>s discretion.</w:t>
            </w:r>
          </w:p>
        </w:tc>
        <w:tc>
          <w:tcPr>
            <w:tcW w:w="1694" w:type="dxa"/>
          </w:tcPr>
          <w:p w:rsidRPr="001F32D4" w:rsidR="00871570" w:rsidP="001F32D4" w:rsidRDefault="00AE64E7">
            <w:pPr>
              <w:jc w:val="left"/>
              <w:rPr>
                <w:sz w:val="18"/>
                <w:szCs w:val="18"/>
              </w:rPr>
            </w:pPr>
            <w:r w:rsidRPr="001F32D4">
              <w:rPr>
                <w:sz w:val="18"/>
                <w:szCs w:val="18"/>
              </w:rPr>
              <w:t>Not claimed.</w:t>
            </w:r>
          </w:p>
        </w:tc>
        <w:tc>
          <w:tcPr>
            <w:tcW w:w="1058" w:type="dxa"/>
          </w:tcPr>
          <w:p w:rsidRPr="001F32D4" w:rsidR="00D871DB" w:rsidP="001F32D4" w:rsidRDefault="00181096">
            <w:pPr>
              <w:jc w:val="left"/>
              <w:rPr>
                <w:sz w:val="18"/>
                <w:szCs w:val="18"/>
              </w:rPr>
            </w:pPr>
            <w:r w:rsidRPr="001F32D4">
              <w:rPr>
                <w:sz w:val="18"/>
                <w:szCs w:val="18"/>
              </w:rPr>
              <w:t>RUB 3,200</w:t>
            </w:r>
          </w:p>
          <w:p w:rsidRPr="001F32D4" w:rsidR="00871570" w:rsidP="001F32D4" w:rsidRDefault="00D871DB">
            <w:pPr>
              <w:jc w:val="left"/>
              <w:rPr>
                <w:sz w:val="18"/>
                <w:szCs w:val="18"/>
              </w:rPr>
            </w:pPr>
            <w:r w:rsidRPr="001F32D4">
              <w:rPr>
                <w:sz w:val="18"/>
                <w:szCs w:val="18"/>
              </w:rPr>
              <w:t>[EUR 46]</w:t>
            </w:r>
            <w:r w:rsidRPr="001F32D4" w:rsidR="00181096">
              <w:rPr>
                <w:sz w:val="18"/>
                <w:szCs w:val="18"/>
              </w:rPr>
              <w:t xml:space="preserve"> (translation expenses)</w:t>
            </w:r>
          </w:p>
        </w:tc>
      </w:tr>
    </w:tbl>
    <w:p w:rsidRPr="001F32D4" w:rsidR="00030055" w:rsidP="001F32D4" w:rsidRDefault="00030055">
      <w:pPr>
        <w:pStyle w:val="JuParaLast"/>
        <w:ind w:firstLine="0"/>
      </w:pPr>
    </w:p>
    <w:p w:rsidRPr="001F32D4" w:rsidR="004D15F3" w:rsidP="001F32D4" w:rsidRDefault="004D15F3"/>
    <w:sectPr w:rsidRPr="001F32D4" w:rsidR="004D15F3" w:rsidSect="001118C4">
      <w:headerReference w:type="even" r:id="rId16"/>
      <w:headerReference w:type="default" r:id="rId17"/>
      <w:footnotePr>
        <w:numRestart w:val="eachSect"/>
      </w:footnotePr>
      <w:pgSz w:w="16838" w:h="11906" w:orient="landscape"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942" w:rsidRPr="003152BA" w:rsidRDefault="00746942" w:rsidP="00014566">
      <w:r w:rsidRPr="003152BA">
        <w:separator/>
      </w:r>
    </w:p>
  </w:endnote>
  <w:endnote w:type="continuationSeparator" w:id="0">
    <w:p w:rsidR="00746942" w:rsidRPr="003152BA" w:rsidRDefault="00746942" w:rsidP="00014566">
      <w:r w:rsidRPr="003152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8C4" w:rsidRDefault="001118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8C4" w:rsidRDefault="001118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E3" w:rsidRPr="00150BFA" w:rsidRDefault="001143E3" w:rsidP="0020718E">
    <w:pPr>
      <w:jc w:val="center"/>
    </w:pPr>
    <w:r>
      <w:rPr>
        <w:noProof/>
        <w:lang w:val="en-US" w:eastAsia="ja-JP"/>
      </w:rPr>
      <w:drawing>
        <wp:inline distT="0" distB="0" distL="0" distR="0" wp14:anchorId="013949A4" wp14:editId="0DCABF18">
          <wp:extent cx="771525" cy="619125"/>
          <wp:effectExtent l="0" t="0" r="9525" b="9525"/>
          <wp:docPr id="9" name="Picture 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1143E3" w:rsidRDefault="001143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942" w:rsidRPr="003152BA" w:rsidRDefault="00746942" w:rsidP="00014566">
      <w:r w:rsidRPr="003152BA">
        <w:separator/>
      </w:r>
    </w:p>
  </w:footnote>
  <w:footnote w:type="continuationSeparator" w:id="0">
    <w:p w:rsidR="00746942" w:rsidRPr="003152BA" w:rsidRDefault="00746942" w:rsidP="00014566">
      <w:r w:rsidRPr="003152B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8C4" w:rsidRDefault="001118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42" w:rsidRPr="001143E3" w:rsidRDefault="00746942" w:rsidP="001143E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E3" w:rsidRPr="00A45145" w:rsidRDefault="001143E3" w:rsidP="00A45145">
    <w:pPr>
      <w:jc w:val="center"/>
    </w:pPr>
    <w:r>
      <w:rPr>
        <w:noProof/>
        <w:lang w:val="en-US" w:eastAsia="ja-JP"/>
      </w:rPr>
      <w:drawing>
        <wp:inline distT="0" distB="0" distL="0" distR="0" wp14:anchorId="6A6F09DA" wp14:editId="40D9DE7D">
          <wp:extent cx="2962275" cy="1219200"/>
          <wp:effectExtent l="0" t="0" r="9525" b="0"/>
          <wp:docPr id="3" name="Picture 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1143E3" w:rsidRDefault="001143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E3" w:rsidRPr="003152BA" w:rsidRDefault="001143E3" w:rsidP="002C3D25">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D20B43">
      <w:rPr>
        <w:rStyle w:val="PageNumber"/>
        <w:noProof/>
        <w:szCs w:val="18"/>
      </w:rPr>
      <w:t>2</w:t>
    </w:r>
    <w:r>
      <w:rPr>
        <w:rStyle w:val="PageNumber"/>
        <w:szCs w:val="18"/>
      </w:rPr>
      <w:fldChar w:fldCharType="end"/>
    </w:r>
    <w:r w:rsidRPr="003152BA">
      <w:tab/>
    </w:r>
    <w:r>
      <w:t>VOLOKITIN AND OTHERS v. RUSSIA</w:t>
    </w:r>
    <w:r w:rsidRPr="003152BA">
      <w:t xml:space="preserve"> </w:t>
    </w:r>
    <w:r>
      <w:t>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E3" w:rsidRPr="003152BA" w:rsidRDefault="001143E3" w:rsidP="00913CB6">
    <w:pPr>
      <w:pStyle w:val="ECHRHeader"/>
      <w:tabs>
        <w:tab w:val="left" w:pos="6705"/>
      </w:tabs>
    </w:pPr>
    <w:r w:rsidRPr="003152BA">
      <w:tab/>
    </w:r>
    <w:r>
      <w:t>VOLOKITIN AND OTHERS v. RUSSIA</w:t>
    </w:r>
    <w:r w:rsidRPr="003152BA">
      <w:t xml:space="preserve"> </w:t>
    </w:r>
    <w:r>
      <w:t>JUDGMENT</w:t>
    </w:r>
    <w:r w:rsidRPr="003152BA">
      <w:tab/>
    </w:r>
    <w:r w:rsidR="00913CB6">
      <w:tab/>
    </w:r>
    <w:r>
      <w:rPr>
        <w:rStyle w:val="PageNumber"/>
        <w:szCs w:val="18"/>
      </w:rPr>
      <w:fldChar w:fldCharType="begin"/>
    </w:r>
    <w:r>
      <w:rPr>
        <w:rStyle w:val="PageNumber"/>
        <w:szCs w:val="18"/>
      </w:rPr>
      <w:instrText xml:space="preserve"> PAGE </w:instrText>
    </w:r>
    <w:r>
      <w:rPr>
        <w:rStyle w:val="PageNumber"/>
        <w:szCs w:val="18"/>
      </w:rPr>
      <w:fldChar w:fldCharType="separate"/>
    </w:r>
    <w:r w:rsidR="00D20B43">
      <w:rPr>
        <w:rStyle w:val="PageNumber"/>
        <w:noProof/>
        <w:szCs w:val="18"/>
      </w:rPr>
      <w:t>3</w:t>
    </w:r>
    <w:r>
      <w:rPr>
        <w:rStyle w:val="PageNumber"/>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25" w:rsidRPr="003152BA" w:rsidRDefault="001118C4" w:rsidP="00072536">
    <w:pPr>
      <w:pStyle w:val="JuHeaderLandscape"/>
    </w:pPr>
    <w:r>
      <w:rPr>
        <w:rStyle w:val="PageNumber"/>
        <w:szCs w:val="18"/>
      </w:rPr>
      <w:fldChar w:fldCharType="begin"/>
    </w:r>
    <w:r>
      <w:rPr>
        <w:rStyle w:val="PageNumber"/>
        <w:szCs w:val="18"/>
      </w:rPr>
      <w:instrText xml:space="preserve"> PAGE </w:instrText>
    </w:r>
    <w:r>
      <w:rPr>
        <w:rStyle w:val="PageNumber"/>
        <w:szCs w:val="18"/>
      </w:rPr>
      <w:fldChar w:fldCharType="separate"/>
    </w:r>
    <w:r w:rsidR="00D20B43">
      <w:rPr>
        <w:rStyle w:val="PageNumber"/>
        <w:noProof/>
        <w:szCs w:val="18"/>
      </w:rPr>
      <w:t>18</w:t>
    </w:r>
    <w:r>
      <w:rPr>
        <w:rStyle w:val="PageNumber"/>
        <w:szCs w:val="18"/>
      </w:rPr>
      <w:fldChar w:fldCharType="end"/>
    </w:r>
    <w:r w:rsidR="002C3D25" w:rsidRPr="003152BA">
      <w:tab/>
    </w:r>
    <w:r w:rsidR="002C3D25">
      <w:t>VOLOKITIN AND OTHERS v. RUSSIA</w:t>
    </w:r>
    <w:r w:rsidR="002C3D25" w:rsidRPr="003152BA">
      <w:t xml:space="preserve"> </w:t>
    </w:r>
    <w:r w:rsidR="002C3D25">
      <w:t>JUDGMENT</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97B" w:rsidRPr="003152BA" w:rsidRDefault="009B797B" w:rsidP="00072536">
    <w:pPr>
      <w:pStyle w:val="JuHeaderLandscape"/>
    </w:pPr>
    <w:r w:rsidRPr="003152BA">
      <w:tab/>
    </w:r>
    <w:r>
      <w:t>VOLOKITIN AND OTHERS v. RUSSIA</w:t>
    </w:r>
    <w:r w:rsidRPr="003152BA">
      <w:t xml:space="preserve"> </w:t>
    </w:r>
    <w:r>
      <w:t>JUDGMENT</w:t>
    </w:r>
    <w:r w:rsidRPr="003152BA">
      <w:tab/>
    </w:r>
    <w:r>
      <w:rPr>
        <w:rStyle w:val="PageNumber"/>
        <w:szCs w:val="18"/>
      </w:rPr>
      <w:fldChar w:fldCharType="begin"/>
    </w:r>
    <w:r>
      <w:rPr>
        <w:rStyle w:val="PageNumber"/>
        <w:szCs w:val="18"/>
      </w:rPr>
      <w:instrText xml:space="preserve"> PAGE </w:instrText>
    </w:r>
    <w:r>
      <w:rPr>
        <w:rStyle w:val="PageNumber"/>
        <w:szCs w:val="18"/>
      </w:rPr>
      <w:fldChar w:fldCharType="separate"/>
    </w:r>
    <w:r w:rsidR="00D20B43">
      <w:rPr>
        <w:rStyle w:val="PageNumber"/>
        <w:noProof/>
        <w:szCs w:val="18"/>
      </w:rPr>
      <w:t>17</w:t>
    </w:r>
    <w:r>
      <w:rPr>
        <w:rStyle w:val="PageNumber"/>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2A87916"/>
    <w:multiLevelType w:val="hybridMultilevel"/>
    <w:tmpl w:val="10F28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0"/>
  </w:num>
  <w:num w:numId="3">
    <w:abstractNumId w:val="9"/>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3"/>
  </w:num>
  <w:num w:numId="16">
    <w:abstractNumId w:val="13"/>
  </w:num>
  <w:num w:numId="17">
    <w:abstractNumId w:val="11"/>
  </w:num>
  <w:num w:numId="18">
    <w:abstractNumId w:val="13"/>
  </w:num>
  <w:num w:numId="19">
    <w:abstractNumId w:val="13"/>
  </w:num>
  <w:num w:numId="20">
    <w:abstractNumId w:val="13"/>
  </w:num>
  <w:num w:numId="21">
    <w:abstractNumId w:val="13"/>
  </w:num>
  <w:num w:numId="22">
    <w:abstractNumId w:val="13"/>
  </w:num>
  <w:num w:numId="2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MM" w:val="0"/>
    <w:docVar w:name="NBEMMDOC" w:val="0"/>
  </w:docVars>
  <w:rsids>
    <w:rsidRoot w:val="00FD03DD"/>
    <w:rsid w:val="00000067"/>
    <w:rsid w:val="00000DF6"/>
    <w:rsid w:val="000010ED"/>
    <w:rsid w:val="000015AC"/>
    <w:rsid w:val="000041F8"/>
    <w:rsid w:val="000042A8"/>
    <w:rsid w:val="00004308"/>
    <w:rsid w:val="00005BF0"/>
    <w:rsid w:val="00007154"/>
    <w:rsid w:val="000103AE"/>
    <w:rsid w:val="00011D69"/>
    <w:rsid w:val="00012AB4"/>
    <w:rsid w:val="00012AD3"/>
    <w:rsid w:val="00014566"/>
    <w:rsid w:val="000159C2"/>
    <w:rsid w:val="00015C2D"/>
    <w:rsid w:val="00015F00"/>
    <w:rsid w:val="00022C1D"/>
    <w:rsid w:val="00025C5F"/>
    <w:rsid w:val="0002744E"/>
    <w:rsid w:val="00030055"/>
    <w:rsid w:val="00033459"/>
    <w:rsid w:val="00034987"/>
    <w:rsid w:val="000350E3"/>
    <w:rsid w:val="00045402"/>
    <w:rsid w:val="00054FEE"/>
    <w:rsid w:val="000602DF"/>
    <w:rsid w:val="00061B05"/>
    <w:rsid w:val="00062973"/>
    <w:rsid w:val="00062D5D"/>
    <w:rsid w:val="000632D5"/>
    <w:rsid w:val="00064349"/>
    <w:rsid w:val="000644EE"/>
    <w:rsid w:val="00066F84"/>
    <w:rsid w:val="00071ABC"/>
    <w:rsid w:val="00072536"/>
    <w:rsid w:val="00077341"/>
    <w:rsid w:val="000774D6"/>
    <w:rsid w:val="000775AE"/>
    <w:rsid w:val="000856D7"/>
    <w:rsid w:val="000902AD"/>
    <w:rsid w:val="00090E38"/>
    <w:rsid w:val="000925AD"/>
    <w:rsid w:val="000A24EB"/>
    <w:rsid w:val="000A445D"/>
    <w:rsid w:val="000A6495"/>
    <w:rsid w:val="000B6923"/>
    <w:rsid w:val="000C033C"/>
    <w:rsid w:val="000C58BD"/>
    <w:rsid w:val="000C5F3C"/>
    <w:rsid w:val="000C6A15"/>
    <w:rsid w:val="000C6DCC"/>
    <w:rsid w:val="000C7252"/>
    <w:rsid w:val="000D47AA"/>
    <w:rsid w:val="000D721F"/>
    <w:rsid w:val="000E069B"/>
    <w:rsid w:val="000E0E82"/>
    <w:rsid w:val="000E1DC5"/>
    <w:rsid w:val="000E223F"/>
    <w:rsid w:val="000E35AC"/>
    <w:rsid w:val="000E7D45"/>
    <w:rsid w:val="000F0AAE"/>
    <w:rsid w:val="000F14BE"/>
    <w:rsid w:val="000F2BB0"/>
    <w:rsid w:val="000F338C"/>
    <w:rsid w:val="000F5DBB"/>
    <w:rsid w:val="000F7851"/>
    <w:rsid w:val="00100C8F"/>
    <w:rsid w:val="00104E23"/>
    <w:rsid w:val="001118C4"/>
    <w:rsid w:val="00111B0C"/>
    <w:rsid w:val="001143E3"/>
    <w:rsid w:val="00115EB0"/>
    <w:rsid w:val="0011633F"/>
    <w:rsid w:val="00120D6C"/>
    <w:rsid w:val="00123B64"/>
    <w:rsid w:val="0012478E"/>
    <w:rsid w:val="001257EC"/>
    <w:rsid w:val="00126A7F"/>
    <w:rsid w:val="00130EEB"/>
    <w:rsid w:val="00131E77"/>
    <w:rsid w:val="00132C6A"/>
    <w:rsid w:val="00133D33"/>
    <w:rsid w:val="00134D64"/>
    <w:rsid w:val="00135A30"/>
    <w:rsid w:val="0013612C"/>
    <w:rsid w:val="00137FF6"/>
    <w:rsid w:val="00141650"/>
    <w:rsid w:val="00145159"/>
    <w:rsid w:val="001457D8"/>
    <w:rsid w:val="001535D1"/>
    <w:rsid w:val="00156AD4"/>
    <w:rsid w:val="0016064C"/>
    <w:rsid w:val="00162A12"/>
    <w:rsid w:val="00166530"/>
    <w:rsid w:val="00170FFD"/>
    <w:rsid w:val="00172302"/>
    <w:rsid w:val="00181096"/>
    <w:rsid w:val="00181472"/>
    <w:rsid w:val="001832BD"/>
    <w:rsid w:val="001943B5"/>
    <w:rsid w:val="00194897"/>
    <w:rsid w:val="00195134"/>
    <w:rsid w:val="001A145B"/>
    <w:rsid w:val="001A5A2D"/>
    <w:rsid w:val="001A674C"/>
    <w:rsid w:val="001B007E"/>
    <w:rsid w:val="001B3B24"/>
    <w:rsid w:val="001C0F98"/>
    <w:rsid w:val="001C196F"/>
    <w:rsid w:val="001C1AAD"/>
    <w:rsid w:val="001C1E78"/>
    <w:rsid w:val="001C2A42"/>
    <w:rsid w:val="001D63ED"/>
    <w:rsid w:val="001D7348"/>
    <w:rsid w:val="001E035B"/>
    <w:rsid w:val="001E0961"/>
    <w:rsid w:val="001E3EAE"/>
    <w:rsid w:val="001E5348"/>
    <w:rsid w:val="001E6F32"/>
    <w:rsid w:val="001E7CA0"/>
    <w:rsid w:val="001F2145"/>
    <w:rsid w:val="001F32D4"/>
    <w:rsid w:val="001F3E11"/>
    <w:rsid w:val="001F543F"/>
    <w:rsid w:val="001F6262"/>
    <w:rsid w:val="001F67B0"/>
    <w:rsid w:val="001F7B3D"/>
    <w:rsid w:val="002008BE"/>
    <w:rsid w:val="0020583A"/>
    <w:rsid w:val="00205F9F"/>
    <w:rsid w:val="00207426"/>
    <w:rsid w:val="00210338"/>
    <w:rsid w:val="002115FC"/>
    <w:rsid w:val="002127E6"/>
    <w:rsid w:val="002133F8"/>
    <w:rsid w:val="0021423C"/>
    <w:rsid w:val="002160B5"/>
    <w:rsid w:val="00223063"/>
    <w:rsid w:val="00225698"/>
    <w:rsid w:val="00230D00"/>
    <w:rsid w:val="00231DF7"/>
    <w:rsid w:val="00231F41"/>
    <w:rsid w:val="00231FD1"/>
    <w:rsid w:val="002339E0"/>
    <w:rsid w:val="00233CF8"/>
    <w:rsid w:val="0023575D"/>
    <w:rsid w:val="00237148"/>
    <w:rsid w:val="0024027C"/>
    <w:rsid w:val="002407EA"/>
    <w:rsid w:val="0024222D"/>
    <w:rsid w:val="00244B0E"/>
    <w:rsid w:val="00244F6C"/>
    <w:rsid w:val="00247622"/>
    <w:rsid w:val="0025231C"/>
    <w:rsid w:val="002532C5"/>
    <w:rsid w:val="00260C03"/>
    <w:rsid w:val="0026540E"/>
    <w:rsid w:val="0027225C"/>
    <w:rsid w:val="00275123"/>
    <w:rsid w:val="00276B8F"/>
    <w:rsid w:val="00282240"/>
    <w:rsid w:val="0028572A"/>
    <w:rsid w:val="002859FE"/>
    <w:rsid w:val="0029028B"/>
    <w:rsid w:val="002948AD"/>
    <w:rsid w:val="00294C05"/>
    <w:rsid w:val="00294C92"/>
    <w:rsid w:val="002A01CC"/>
    <w:rsid w:val="002A61B1"/>
    <w:rsid w:val="002A663C"/>
    <w:rsid w:val="002B0929"/>
    <w:rsid w:val="002B1E6C"/>
    <w:rsid w:val="002B29BD"/>
    <w:rsid w:val="002B444B"/>
    <w:rsid w:val="002B5887"/>
    <w:rsid w:val="002C0692"/>
    <w:rsid w:val="002C0E27"/>
    <w:rsid w:val="002C3040"/>
    <w:rsid w:val="002C3D25"/>
    <w:rsid w:val="002C7AAE"/>
    <w:rsid w:val="002D022D"/>
    <w:rsid w:val="002D24BB"/>
    <w:rsid w:val="002D5DA7"/>
    <w:rsid w:val="002D7630"/>
    <w:rsid w:val="002E6C67"/>
    <w:rsid w:val="002F163D"/>
    <w:rsid w:val="002F171B"/>
    <w:rsid w:val="002F2AF7"/>
    <w:rsid w:val="002F7E1C"/>
    <w:rsid w:val="002F7F4B"/>
    <w:rsid w:val="00301A75"/>
    <w:rsid w:val="00302491"/>
    <w:rsid w:val="00302C57"/>
    <w:rsid w:val="00302F70"/>
    <w:rsid w:val="0030336F"/>
    <w:rsid w:val="0030375E"/>
    <w:rsid w:val="00306915"/>
    <w:rsid w:val="0031102C"/>
    <w:rsid w:val="00312A30"/>
    <w:rsid w:val="003152BA"/>
    <w:rsid w:val="00320F72"/>
    <w:rsid w:val="0032463E"/>
    <w:rsid w:val="00326224"/>
    <w:rsid w:val="0032676F"/>
    <w:rsid w:val="003307A3"/>
    <w:rsid w:val="00331EAC"/>
    <w:rsid w:val="003345AA"/>
    <w:rsid w:val="00337EE4"/>
    <w:rsid w:val="00340FFD"/>
    <w:rsid w:val="003466FB"/>
    <w:rsid w:val="003506B1"/>
    <w:rsid w:val="00353322"/>
    <w:rsid w:val="00356AC7"/>
    <w:rsid w:val="003609FA"/>
    <w:rsid w:val="00361F46"/>
    <w:rsid w:val="00367ED6"/>
    <w:rsid w:val="00371017"/>
    <w:rsid w:val="003710C8"/>
    <w:rsid w:val="003750BE"/>
    <w:rsid w:val="003763C3"/>
    <w:rsid w:val="00381D52"/>
    <w:rsid w:val="00385F0A"/>
    <w:rsid w:val="00387B9D"/>
    <w:rsid w:val="0039364F"/>
    <w:rsid w:val="00393AE9"/>
    <w:rsid w:val="00396686"/>
    <w:rsid w:val="0039778E"/>
    <w:rsid w:val="003A441D"/>
    <w:rsid w:val="003A58E4"/>
    <w:rsid w:val="003B122D"/>
    <w:rsid w:val="003B4941"/>
    <w:rsid w:val="003C5714"/>
    <w:rsid w:val="003C6288"/>
    <w:rsid w:val="003C6B9F"/>
    <w:rsid w:val="003C6E2A"/>
    <w:rsid w:val="003D0299"/>
    <w:rsid w:val="003D0AE9"/>
    <w:rsid w:val="003D239D"/>
    <w:rsid w:val="003E6D80"/>
    <w:rsid w:val="003F05FA"/>
    <w:rsid w:val="003F244A"/>
    <w:rsid w:val="003F30B8"/>
    <w:rsid w:val="003F30DE"/>
    <w:rsid w:val="003F4C45"/>
    <w:rsid w:val="003F5949"/>
    <w:rsid w:val="003F5F7B"/>
    <w:rsid w:val="003F7D64"/>
    <w:rsid w:val="00403610"/>
    <w:rsid w:val="00410B75"/>
    <w:rsid w:val="00412BAC"/>
    <w:rsid w:val="00414300"/>
    <w:rsid w:val="00415438"/>
    <w:rsid w:val="00425C67"/>
    <w:rsid w:val="00427E7A"/>
    <w:rsid w:val="00436307"/>
    <w:rsid w:val="00436C49"/>
    <w:rsid w:val="00445366"/>
    <w:rsid w:val="00447F5B"/>
    <w:rsid w:val="00461DB0"/>
    <w:rsid w:val="004635AA"/>
    <w:rsid w:val="00463926"/>
    <w:rsid w:val="00464097"/>
    <w:rsid w:val="004646E0"/>
    <w:rsid w:val="00464C9A"/>
    <w:rsid w:val="00471529"/>
    <w:rsid w:val="00471891"/>
    <w:rsid w:val="00474575"/>
    <w:rsid w:val="00474602"/>
    <w:rsid w:val="00474F3D"/>
    <w:rsid w:val="00477E3A"/>
    <w:rsid w:val="00480964"/>
    <w:rsid w:val="00483E5F"/>
    <w:rsid w:val="0048420A"/>
    <w:rsid w:val="00485FF9"/>
    <w:rsid w:val="00487EFE"/>
    <w:rsid w:val="004907F0"/>
    <w:rsid w:val="0049140B"/>
    <w:rsid w:val="004923A5"/>
    <w:rsid w:val="00496BFB"/>
    <w:rsid w:val="004A15C7"/>
    <w:rsid w:val="004A3F66"/>
    <w:rsid w:val="004A70B3"/>
    <w:rsid w:val="004A7FB4"/>
    <w:rsid w:val="004B013B"/>
    <w:rsid w:val="004B112B"/>
    <w:rsid w:val="004B155D"/>
    <w:rsid w:val="004B3DAA"/>
    <w:rsid w:val="004B6633"/>
    <w:rsid w:val="004B7761"/>
    <w:rsid w:val="004C01E4"/>
    <w:rsid w:val="004C086C"/>
    <w:rsid w:val="004C1F56"/>
    <w:rsid w:val="004C27BC"/>
    <w:rsid w:val="004C5449"/>
    <w:rsid w:val="004D08CB"/>
    <w:rsid w:val="004D15F3"/>
    <w:rsid w:val="004D347F"/>
    <w:rsid w:val="004D5311"/>
    <w:rsid w:val="004D5BAD"/>
    <w:rsid w:val="004D5DCC"/>
    <w:rsid w:val="004E6BB7"/>
    <w:rsid w:val="004F10AF"/>
    <w:rsid w:val="004F11A4"/>
    <w:rsid w:val="004F2389"/>
    <w:rsid w:val="004F304D"/>
    <w:rsid w:val="004F61BE"/>
    <w:rsid w:val="004F66B1"/>
    <w:rsid w:val="005008DF"/>
    <w:rsid w:val="00502A0D"/>
    <w:rsid w:val="005068C6"/>
    <w:rsid w:val="00510BD4"/>
    <w:rsid w:val="0051157B"/>
    <w:rsid w:val="00511C07"/>
    <w:rsid w:val="00512D5D"/>
    <w:rsid w:val="005173A6"/>
    <w:rsid w:val="00520BAA"/>
    <w:rsid w:val="00521994"/>
    <w:rsid w:val="00525208"/>
    <w:rsid w:val="005257A5"/>
    <w:rsid w:val="005264C0"/>
    <w:rsid w:val="00526A8A"/>
    <w:rsid w:val="00526ED5"/>
    <w:rsid w:val="00530586"/>
    <w:rsid w:val="00531DF2"/>
    <w:rsid w:val="00533CF7"/>
    <w:rsid w:val="005352F7"/>
    <w:rsid w:val="00535BB8"/>
    <w:rsid w:val="00537766"/>
    <w:rsid w:val="005432BC"/>
    <w:rsid w:val="005442EE"/>
    <w:rsid w:val="00547353"/>
    <w:rsid w:val="005474E7"/>
    <w:rsid w:val="005512A3"/>
    <w:rsid w:val="00554846"/>
    <w:rsid w:val="00556C2C"/>
    <w:rsid w:val="005578CE"/>
    <w:rsid w:val="00561007"/>
    <w:rsid w:val="00562781"/>
    <w:rsid w:val="00563E83"/>
    <w:rsid w:val="005706FF"/>
    <w:rsid w:val="0057271C"/>
    <w:rsid w:val="00572845"/>
    <w:rsid w:val="0057701A"/>
    <w:rsid w:val="00583D36"/>
    <w:rsid w:val="00587CFE"/>
    <w:rsid w:val="00591C09"/>
    <w:rsid w:val="00592772"/>
    <w:rsid w:val="00593476"/>
    <w:rsid w:val="0059574A"/>
    <w:rsid w:val="005957FE"/>
    <w:rsid w:val="005A1B9B"/>
    <w:rsid w:val="005A316D"/>
    <w:rsid w:val="005A5CA6"/>
    <w:rsid w:val="005A6751"/>
    <w:rsid w:val="005B092E"/>
    <w:rsid w:val="005B152C"/>
    <w:rsid w:val="005B1EE0"/>
    <w:rsid w:val="005B2B24"/>
    <w:rsid w:val="005B4425"/>
    <w:rsid w:val="005B4B94"/>
    <w:rsid w:val="005B7799"/>
    <w:rsid w:val="005C3E83"/>
    <w:rsid w:val="005C3EE8"/>
    <w:rsid w:val="005C44CD"/>
    <w:rsid w:val="005D1D95"/>
    <w:rsid w:val="005D34F9"/>
    <w:rsid w:val="005D4190"/>
    <w:rsid w:val="005D67A3"/>
    <w:rsid w:val="005E2988"/>
    <w:rsid w:val="005E2A43"/>
    <w:rsid w:val="005E3085"/>
    <w:rsid w:val="005E438A"/>
    <w:rsid w:val="005F112C"/>
    <w:rsid w:val="005F1E9F"/>
    <w:rsid w:val="005F3705"/>
    <w:rsid w:val="005F4BF6"/>
    <w:rsid w:val="005F51E1"/>
    <w:rsid w:val="00606410"/>
    <w:rsid w:val="00606F90"/>
    <w:rsid w:val="00611C80"/>
    <w:rsid w:val="006148F3"/>
    <w:rsid w:val="006176B1"/>
    <w:rsid w:val="00620692"/>
    <w:rsid w:val="006242CA"/>
    <w:rsid w:val="00627207"/>
    <w:rsid w:val="00627507"/>
    <w:rsid w:val="00633141"/>
    <w:rsid w:val="00633717"/>
    <w:rsid w:val="00633E63"/>
    <w:rsid w:val="006344E1"/>
    <w:rsid w:val="00641B58"/>
    <w:rsid w:val="00647B8A"/>
    <w:rsid w:val="00650831"/>
    <w:rsid w:val="0065355A"/>
    <w:rsid w:val="006545C4"/>
    <w:rsid w:val="0066102C"/>
    <w:rsid w:val="00661971"/>
    <w:rsid w:val="00661CE8"/>
    <w:rsid w:val="00661E11"/>
    <w:rsid w:val="006623D9"/>
    <w:rsid w:val="0066550C"/>
    <w:rsid w:val="006716F2"/>
    <w:rsid w:val="00680094"/>
    <w:rsid w:val="00680D1E"/>
    <w:rsid w:val="00682BF2"/>
    <w:rsid w:val="00683C58"/>
    <w:rsid w:val="006844F6"/>
    <w:rsid w:val="006859CE"/>
    <w:rsid w:val="00691270"/>
    <w:rsid w:val="006919A7"/>
    <w:rsid w:val="00694BA8"/>
    <w:rsid w:val="0069505A"/>
    <w:rsid w:val="00695F02"/>
    <w:rsid w:val="006A037C"/>
    <w:rsid w:val="006A36F4"/>
    <w:rsid w:val="006A406F"/>
    <w:rsid w:val="006A5D3A"/>
    <w:rsid w:val="006B0038"/>
    <w:rsid w:val="006B084A"/>
    <w:rsid w:val="006C0838"/>
    <w:rsid w:val="006C18A5"/>
    <w:rsid w:val="006C23D4"/>
    <w:rsid w:val="006C7BB0"/>
    <w:rsid w:val="006C7C1E"/>
    <w:rsid w:val="006D1C97"/>
    <w:rsid w:val="006D2AC3"/>
    <w:rsid w:val="006D3237"/>
    <w:rsid w:val="006E243A"/>
    <w:rsid w:val="006E2E37"/>
    <w:rsid w:val="006E3CF1"/>
    <w:rsid w:val="006E7E80"/>
    <w:rsid w:val="006F1DF9"/>
    <w:rsid w:val="006F24DB"/>
    <w:rsid w:val="006F27C1"/>
    <w:rsid w:val="006F48CA"/>
    <w:rsid w:val="006F5471"/>
    <w:rsid w:val="006F64DD"/>
    <w:rsid w:val="007000A7"/>
    <w:rsid w:val="00700436"/>
    <w:rsid w:val="00701A9D"/>
    <w:rsid w:val="00707BF4"/>
    <w:rsid w:val="0071324D"/>
    <w:rsid w:val="00713988"/>
    <w:rsid w:val="00715127"/>
    <w:rsid w:val="007158CF"/>
    <w:rsid w:val="00715E8E"/>
    <w:rsid w:val="00716935"/>
    <w:rsid w:val="00721D51"/>
    <w:rsid w:val="00723580"/>
    <w:rsid w:val="00723755"/>
    <w:rsid w:val="0073136C"/>
    <w:rsid w:val="00731F0F"/>
    <w:rsid w:val="00732917"/>
    <w:rsid w:val="00733250"/>
    <w:rsid w:val="007400F1"/>
    <w:rsid w:val="00741404"/>
    <w:rsid w:val="007417F2"/>
    <w:rsid w:val="00742587"/>
    <w:rsid w:val="007449E5"/>
    <w:rsid w:val="00746942"/>
    <w:rsid w:val="007469E4"/>
    <w:rsid w:val="00746C5A"/>
    <w:rsid w:val="00747FF0"/>
    <w:rsid w:val="007509D5"/>
    <w:rsid w:val="0075502D"/>
    <w:rsid w:val="00761183"/>
    <w:rsid w:val="00764BAA"/>
    <w:rsid w:val="00764D4E"/>
    <w:rsid w:val="00765A1F"/>
    <w:rsid w:val="007660C5"/>
    <w:rsid w:val="0077027E"/>
    <w:rsid w:val="00774A6E"/>
    <w:rsid w:val="00775B6D"/>
    <w:rsid w:val="007764F7"/>
    <w:rsid w:val="00776D68"/>
    <w:rsid w:val="00783648"/>
    <w:rsid w:val="007850EE"/>
    <w:rsid w:val="00785B95"/>
    <w:rsid w:val="00790E96"/>
    <w:rsid w:val="007911B9"/>
    <w:rsid w:val="00793366"/>
    <w:rsid w:val="007942C8"/>
    <w:rsid w:val="007A2F79"/>
    <w:rsid w:val="007A3CC4"/>
    <w:rsid w:val="007A716F"/>
    <w:rsid w:val="007B270A"/>
    <w:rsid w:val="007B6606"/>
    <w:rsid w:val="007C0695"/>
    <w:rsid w:val="007C419A"/>
    <w:rsid w:val="007C4CC8"/>
    <w:rsid w:val="007C5426"/>
    <w:rsid w:val="007C5798"/>
    <w:rsid w:val="007D12D8"/>
    <w:rsid w:val="007D4832"/>
    <w:rsid w:val="007E21B2"/>
    <w:rsid w:val="007E2C4E"/>
    <w:rsid w:val="007F1905"/>
    <w:rsid w:val="007F35F3"/>
    <w:rsid w:val="007F5F74"/>
    <w:rsid w:val="0080048F"/>
    <w:rsid w:val="00801300"/>
    <w:rsid w:val="00801E77"/>
    <w:rsid w:val="00802C64"/>
    <w:rsid w:val="00805E52"/>
    <w:rsid w:val="008061D0"/>
    <w:rsid w:val="00810B38"/>
    <w:rsid w:val="0081392E"/>
    <w:rsid w:val="008204C7"/>
    <w:rsid w:val="00820992"/>
    <w:rsid w:val="00822DAC"/>
    <w:rsid w:val="00823602"/>
    <w:rsid w:val="00824349"/>
    <w:rsid w:val="008255F5"/>
    <w:rsid w:val="0082659F"/>
    <w:rsid w:val="00827885"/>
    <w:rsid w:val="0083014E"/>
    <w:rsid w:val="0083214A"/>
    <w:rsid w:val="00834220"/>
    <w:rsid w:val="00835EE7"/>
    <w:rsid w:val="00845723"/>
    <w:rsid w:val="00851EF9"/>
    <w:rsid w:val="0085699E"/>
    <w:rsid w:val="008577FD"/>
    <w:rsid w:val="00860B03"/>
    <w:rsid w:val="00861A9C"/>
    <w:rsid w:val="0086497A"/>
    <w:rsid w:val="008673B7"/>
    <w:rsid w:val="008713A1"/>
    <w:rsid w:val="00871570"/>
    <w:rsid w:val="008754AB"/>
    <w:rsid w:val="0088060C"/>
    <w:rsid w:val="00880B07"/>
    <w:rsid w:val="00880E4C"/>
    <w:rsid w:val="00893576"/>
    <w:rsid w:val="00893E73"/>
    <w:rsid w:val="00896E08"/>
    <w:rsid w:val="00897AFF"/>
    <w:rsid w:val="008A32D6"/>
    <w:rsid w:val="008A43C4"/>
    <w:rsid w:val="008B02DC"/>
    <w:rsid w:val="008B0ADE"/>
    <w:rsid w:val="008B195A"/>
    <w:rsid w:val="008B2985"/>
    <w:rsid w:val="008B42A9"/>
    <w:rsid w:val="008B57CE"/>
    <w:rsid w:val="008B659F"/>
    <w:rsid w:val="008B6C7A"/>
    <w:rsid w:val="008C05AA"/>
    <w:rsid w:val="008C125A"/>
    <w:rsid w:val="008C26DE"/>
    <w:rsid w:val="008C2C14"/>
    <w:rsid w:val="008C3B47"/>
    <w:rsid w:val="008D2225"/>
    <w:rsid w:val="008D3D2B"/>
    <w:rsid w:val="008D4752"/>
    <w:rsid w:val="008D552A"/>
    <w:rsid w:val="008E271C"/>
    <w:rsid w:val="008E418E"/>
    <w:rsid w:val="008E5BC6"/>
    <w:rsid w:val="008E6A25"/>
    <w:rsid w:val="008F29EC"/>
    <w:rsid w:val="008F5193"/>
    <w:rsid w:val="008F6762"/>
    <w:rsid w:val="009013A7"/>
    <w:rsid w:val="009017FB"/>
    <w:rsid w:val="009017FC"/>
    <w:rsid w:val="00903B43"/>
    <w:rsid w:val="0090506B"/>
    <w:rsid w:val="009050C9"/>
    <w:rsid w:val="009066FC"/>
    <w:rsid w:val="00907ED0"/>
    <w:rsid w:val="00913CB6"/>
    <w:rsid w:val="009140A3"/>
    <w:rsid w:val="009144A2"/>
    <w:rsid w:val="00914BA1"/>
    <w:rsid w:val="0091510C"/>
    <w:rsid w:val="009259AC"/>
    <w:rsid w:val="00926F38"/>
    <w:rsid w:val="00931357"/>
    <w:rsid w:val="00931D34"/>
    <w:rsid w:val="00934301"/>
    <w:rsid w:val="00935296"/>
    <w:rsid w:val="00936CD1"/>
    <w:rsid w:val="00941747"/>
    <w:rsid w:val="00941EFB"/>
    <w:rsid w:val="00947AFB"/>
    <w:rsid w:val="00951985"/>
    <w:rsid w:val="00951D7D"/>
    <w:rsid w:val="00952C12"/>
    <w:rsid w:val="00953DBA"/>
    <w:rsid w:val="00954ED0"/>
    <w:rsid w:val="009630C7"/>
    <w:rsid w:val="00972B55"/>
    <w:rsid w:val="009743B7"/>
    <w:rsid w:val="0098228B"/>
    <w:rsid w:val="009828DA"/>
    <w:rsid w:val="00985BAB"/>
    <w:rsid w:val="00992ED4"/>
    <w:rsid w:val="0099585F"/>
    <w:rsid w:val="00997F03"/>
    <w:rsid w:val="009A1FEB"/>
    <w:rsid w:val="009A2507"/>
    <w:rsid w:val="009A2A32"/>
    <w:rsid w:val="009A46DF"/>
    <w:rsid w:val="009B1B5F"/>
    <w:rsid w:val="009B2EC2"/>
    <w:rsid w:val="009B5DB4"/>
    <w:rsid w:val="009B6673"/>
    <w:rsid w:val="009B797B"/>
    <w:rsid w:val="009C191B"/>
    <w:rsid w:val="009C2486"/>
    <w:rsid w:val="009C2BD6"/>
    <w:rsid w:val="009C35B7"/>
    <w:rsid w:val="009C5384"/>
    <w:rsid w:val="009D0549"/>
    <w:rsid w:val="009D690F"/>
    <w:rsid w:val="009E1613"/>
    <w:rsid w:val="009E1F32"/>
    <w:rsid w:val="009E5829"/>
    <w:rsid w:val="009E776C"/>
    <w:rsid w:val="009F3716"/>
    <w:rsid w:val="009F3CAC"/>
    <w:rsid w:val="009F6BD9"/>
    <w:rsid w:val="00A02E24"/>
    <w:rsid w:val="00A130B4"/>
    <w:rsid w:val="00A1726E"/>
    <w:rsid w:val="00A204CF"/>
    <w:rsid w:val="00A23D49"/>
    <w:rsid w:val="00A255CF"/>
    <w:rsid w:val="00A27004"/>
    <w:rsid w:val="00A2753F"/>
    <w:rsid w:val="00A30C29"/>
    <w:rsid w:val="00A32EC6"/>
    <w:rsid w:val="00A34875"/>
    <w:rsid w:val="00A34DD6"/>
    <w:rsid w:val="00A356F5"/>
    <w:rsid w:val="00A36819"/>
    <w:rsid w:val="00A36989"/>
    <w:rsid w:val="00A43628"/>
    <w:rsid w:val="00A43C33"/>
    <w:rsid w:val="00A46F30"/>
    <w:rsid w:val="00A54192"/>
    <w:rsid w:val="00A6035E"/>
    <w:rsid w:val="00A6144C"/>
    <w:rsid w:val="00A62B73"/>
    <w:rsid w:val="00A66617"/>
    <w:rsid w:val="00A671F8"/>
    <w:rsid w:val="00A673A4"/>
    <w:rsid w:val="00A724AE"/>
    <w:rsid w:val="00A73329"/>
    <w:rsid w:val="00A7466B"/>
    <w:rsid w:val="00A82359"/>
    <w:rsid w:val="00A865D2"/>
    <w:rsid w:val="00A91318"/>
    <w:rsid w:val="00A94B97"/>
    <w:rsid w:val="00A94C20"/>
    <w:rsid w:val="00A95CD8"/>
    <w:rsid w:val="00A96ED6"/>
    <w:rsid w:val="00AA227F"/>
    <w:rsid w:val="00AA3BC7"/>
    <w:rsid w:val="00AA754A"/>
    <w:rsid w:val="00AB04AC"/>
    <w:rsid w:val="00AB099E"/>
    <w:rsid w:val="00AB3A18"/>
    <w:rsid w:val="00AB4328"/>
    <w:rsid w:val="00AB57ED"/>
    <w:rsid w:val="00AB596C"/>
    <w:rsid w:val="00AB5FA0"/>
    <w:rsid w:val="00AB6A59"/>
    <w:rsid w:val="00AC6611"/>
    <w:rsid w:val="00AD0038"/>
    <w:rsid w:val="00AD32F2"/>
    <w:rsid w:val="00AD7AB8"/>
    <w:rsid w:val="00AE0A2E"/>
    <w:rsid w:val="00AE354C"/>
    <w:rsid w:val="00AE5003"/>
    <w:rsid w:val="00AE54CA"/>
    <w:rsid w:val="00AE64E7"/>
    <w:rsid w:val="00AF4A2D"/>
    <w:rsid w:val="00AF4B07"/>
    <w:rsid w:val="00AF6186"/>
    <w:rsid w:val="00AF7A3A"/>
    <w:rsid w:val="00B160DB"/>
    <w:rsid w:val="00B20836"/>
    <w:rsid w:val="00B2243D"/>
    <w:rsid w:val="00B235BB"/>
    <w:rsid w:val="00B27A44"/>
    <w:rsid w:val="00B30BBF"/>
    <w:rsid w:val="00B33C03"/>
    <w:rsid w:val="00B44E56"/>
    <w:rsid w:val="00B46543"/>
    <w:rsid w:val="00B46F83"/>
    <w:rsid w:val="00B47D33"/>
    <w:rsid w:val="00B52BE0"/>
    <w:rsid w:val="00B54133"/>
    <w:rsid w:val="00B637B9"/>
    <w:rsid w:val="00B701ED"/>
    <w:rsid w:val="00B8086C"/>
    <w:rsid w:val="00B85E4A"/>
    <w:rsid w:val="00B861B4"/>
    <w:rsid w:val="00B86DFE"/>
    <w:rsid w:val="00B90990"/>
    <w:rsid w:val="00B9119A"/>
    <w:rsid w:val="00B922FF"/>
    <w:rsid w:val="00B92491"/>
    <w:rsid w:val="00B9281E"/>
    <w:rsid w:val="00B93925"/>
    <w:rsid w:val="00B95187"/>
    <w:rsid w:val="00B961F0"/>
    <w:rsid w:val="00BA0118"/>
    <w:rsid w:val="00BA2D55"/>
    <w:rsid w:val="00BA2E2E"/>
    <w:rsid w:val="00BA71B1"/>
    <w:rsid w:val="00BB0637"/>
    <w:rsid w:val="00BB30D3"/>
    <w:rsid w:val="00BB345F"/>
    <w:rsid w:val="00BB5883"/>
    <w:rsid w:val="00BB68EA"/>
    <w:rsid w:val="00BB7AF2"/>
    <w:rsid w:val="00BC1C27"/>
    <w:rsid w:val="00BC4AC0"/>
    <w:rsid w:val="00BC6BBF"/>
    <w:rsid w:val="00BD1572"/>
    <w:rsid w:val="00BD19DD"/>
    <w:rsid w:val="00BD5D15"/>
    <w:rsid w:val="00BE14E3"/>
    <w:rsid w:val="00BE3774"/>
    <w:rsid w:val="00BE41E5"/>
    <w:rsid w:val="00BF0B93"/>
    <w:rsid w:val="00BF0BBB"/>
    <w:rsid w:val="00BF20B0"/>
    <w:rsid w:val="00BF4109"/>
    <w:rsid w:val="00BF4CC3"/>
    <w:rsid w:val="00BF5F86"/>
    <w:rsid w:val="00BF67E5"/>
    <w:rsid w:val="00C054C7"/>
    <w:rsid w:val="00C057B5"/>
    <w:rsid w:val="00C1389C"/>
    <w:rsid w:val="00C17923"/>
    <w:rsid w:val="00C20ADE"/>
    <w:rsid w:val="00C22687"/>
    <w:rsid w:val="00C32939"/>
    <w:rsid w:val="00C32E4D"/>
    <w:rsid w:val="00C333A0"/>
    <w:rsid w:val="00C36A81"/>
    <w:rsid w:val="00C41974"/>
    <w:rsid w:val="00C447AD"/>
    <w:rsid w:val="00C44F14"/>
    <w:rsid w:val="00C53F4A"/>
    <w:rsid w:val="00C54125"/>
    <w:rsid w:val="00C54F6E"/>
    <w:rsid w:val="00C55B54"/>
    <w:rsid w:val="00C5723E"/>
    <w:rsid w:val="00C57E5C"/>
    <w:rsid w:val="00C6098E"/>
    <w:rsid w:val="00C60E5F"/>
    <w:rsid w:val="00C6152C"/>
    <w:rsid w:val="00C621C2"/>
    <w:rsid w:val="00C621C6"/>
    <w:rsid w:val="00C67629"/>
    <w:rsid w:val="00C74810"/>
    <w:rsid w:val="00C8378A"/>
    <w:rsid w:val="00C90D68"/>
    <w:rsid w:val="00C90DAC"/>
    <w:rsid w:val="00C915FB"/>
    <w:rsid w:val="00C939FE"/>
    <w:rsid w:val="00C941E0"/>
    <w:rsid w:val="00CA0F58"/>
    <w:rsid w:val="00CA4BDA"/>
    <w:rsid w:val="00CA71AF"/>
    <w:rsid w:val="00CB1F66"/>
    <w:rsid w:val="00CB2951"/>
    <w:rsid w:val="00CC2A4D"/>
    <w:rsid w:val="00CC5F31"/>
    <w:rsid w:val="00CD282B"/>
    <w:rsid w:val="00CD4C35"/>
    <w:rsid w:val="00CD6365"/>
    <w:rsid w:val="00CD6E84"/>
    <w:rsid w:val="00CD7369"/>
    <w:rsid w:val="00CE0B0E"/>
    <w:rsid w:val="00CE2167"/>
    <w:rsid w:val="00CE2F1E"/>
    <w:rsid w:val="00CE3831"/>
    <w:rsid w:val="00CE62A2"/>
    <w:rsid w:val="00CE6E37"/>
    <w:rsid w:val="00CF6BFB"/>
    <w:rsid w:val="00D00ABB"/>
    <w:rsid w:val="00D02EEC"/>
    <w:rsid w:val="00D03551"/>
    <w:rsid w:val="00D06A63"/>
    <w:rsid w:val="00D07E0E"/>
    <w:rsid w:val="00D11478"/>
    <w:rsid w:val="00D15ED0"/>
    <w:rsid w:val="00D20B43"/>
    <w:rsid w:val="00D21150"/>
    <w:rsid w:val="00D21B3E"/>
    <w:rsid w:val="00D21FED"/>
    <w:rsid w:val="00D22BEC"/>
    <w:rsid w:val="00D23F75"/>
    <w:rsid w:val="00D24251"/>
    <w:rsid w:val="00D3101D"/>
    <w:rsid w:val="00D3249F"/>
    <w:rsid w:val="00D343E2"/>
    <w:rsid w:val="00D361A2"/>
    <w:rsid w:val="00D3751A"/>
    <w:rsid w:val="00D415F8"/>
    <w:rsid w:val="00D42A6A"/>
    <w:rsid w:val="00D44C2E"/>
    <w:rsid w:val="00D452EF"/>
    <w:rsid w:val="00D45414"/>
    <w:rsid w:val="00D50CD4"/>
    <w:rsid w:val="00D53C0F"/>
    <w:rsid w:val="00D566BD"/>
    <w:rsid w:val="00D57A4D"/>
    <w:rsid w:val="00D60AA7"/>
    <w:rsid w:val="00D60D87"/>
    <w:rsid w:val="00D6435F"/>
    <w:rsid w:val="00D7292D"/>
    <w:rsid w:val="00D75E28"/>
    <w:rsid w:val="00D772C2"/>
    <w:rsid w:val="00D8008E"/>
    <w:rsid w:val="00D82C45"/>
    <w:rsid w:val="00D8327B"/>
    <w:rsid w:val="00D835EA"/>
    <w:rsid w:val="00D871DB"/>
    <w:rsid w:val="00D908A8"/>
    <w:rsid w:val="00D94654"/>
    <w:rsid w:val="00D977B6"/>
    <w:rsid w:val="00D9789D"/>
    <w:rsid w:val="00DA1CA5"/>
    <w:rsid w:val="00DA4A31"/>
    <w:rsid w:val="00DA58BA"/>
    <w:rsid w:val="00DA61F2"/>
    <w:rsid w:val="00DA7B04"/>
    <w:rsid w:val="00DB36C2"/>
    <w:rsid w:val="00DB7196"/>
    <w:rsid w:val="00DC169B"/>
    <w:rsid w:val="00DC2AB9"/>
    <w:rsid w:val="00DC4605"/>
    <w:rsid w:val="00DC63F0"/>
    <w:rsid w:val="00DD6EE5"/>
    <w:rsid w:val="00DE1B8E"/>
    <w:rsid w:val="00DE2011"/>
    <w:rsid w:val="00DE248A"/>
    <w:rsid w:val="00DE3762"/>
    <w:rsid w:val="00DE386C"/>
    <w:rsid w:val="00DE4C2B"/>
    <w:rsid w:val="00DE4D35"/>
    <w:rsid w:val="00DE6056"/>
    <w:rsid w:val="00DF0549"/>
    <w:rsid w:val="00DF098B"/>
    <w:rsid w:val="00DF11C4"/>
    <w:rsid w:val="00DF210C"/>
    <w:rsid w:val="00DF4B6A"/>
    <w:rsid w:val="00DF5C4F"/>
    <w:rsid w:val="00E02C09"/>
    <w:rsid w:val="00E04D59"/>
    <w:rsid w:val="00E07DA1"/>
    <w:rsid w:val="00E123CB"/>
    <w:rsid w:val="00E1557C"/>
    <w:rsid w:val="00E20E13"/>
    <w:rsid w:val="00E21DBC"/>
    <w:rsid w:val="00E238D3"/>
    <w:rsid w:val="00E24B18"/>
    <w:rsid w:val="00E259E9"/>
    <w:rsid w:val="00E275D7"/>
    <w:rsid w:val="00E27DBE"/>
    <w:rsid w:val="00E32AB1"/>
    <w:rsid w:val="00E339A4"/>
    <w:rsid w:val="00E36C71"/>
    <w:rsid w:val="00E40404"/>
    <w:rsid w:val="00E4133A"/>
    <w:rsid w:val="00E459C6"/>
    <w:rsid w:val="00E471A9"/>
    <w:rsid w:val="00E47589"/>
    <w:rsid w:val="00E518AA"/>
    <w:rsid w:val="00E57898"/>
    <w:rsid w:val="00E6035C"/>
    <w:rsid w:val="00E608EF"/>
    <w:rsid w:val="00E627D6"/>
    <w:rsid w:val="00E64915"/>
    <w:rsid w:val="00E661D4"/>
    <w:rsid w:val="00E70053"/>
    <w:rsid w:val="00E70091"/>
    <w:rsid w:val="00E715AC"/>
    <w:rsid w:val="00E720F5"/>
    <w:rsid w:val="00E76D47"/>
    <w:rsid w:val="00E77B4B"/>
    <w:rsid w:val="00E806F3"/>
    <w:rsid w:val="00E81364"/>
    <w:rsid w:val="00E849F7"/>
    <w:rsid w:val="00E85859"/>
    <w:rsid w:val="00E86567"/>
    <w:rsid w:val="00E90302"/>
    <w:rsid w:val="00E92243"/>
    <w:rsid w:val="00E9597F"/>
    <w:rsid w:val="00E95A15"/>
    <w:rsid w:val="00E97396"/>
    <w:rsid w:val="00EA185E"/>
    <w:rsid w:val="00EA592A"/>
    <w:rsid w:val="00EA737F"/>
    <w:rsid w:val="00EB14E4"/>
    <w:rsid w:val="00EB32A5"/>
    <w:rsid w:val="00EB34ED"/>
    <w:rsid w:val="00EB689F"/>
    <w:rsid w:val="00EB6EDA"/>
    <w:rsid w:val="00EB7BE0"/>
    <w:rsid w:val="00EC315E"/>
    <w:rsid w:val="00ED077C"/>
    <w:rsid w:val="00ED1190"/>
    <w:rsid w:val="00ED161D"/>
    <w:rsid w:val="00ED3749"/>
    <w:rsid w:val="00ED400F"/>
    <w:rsid w:val="00ED515F"/>
    <w:rsid w:val="00ED6544"/>
    <w:rsid w:val="00EE0277"/>
    <w:rsid w:val="00EE1DA9"/>
    <w:rsid w:val="00EE3E00"/>
    <w:rsid w:val="00EE5DD2"/>
    <w:rsid w:val="00EF0073"/>
    <w:rsid w:val="00EF1E5C"/>
    <w:rsid w:val="00EF41F1"/>
    <w:rsid w:val="00EF4E9C"/>
    <w:rsid w:val="00EF4F08"/>
    <w:rsid w:val="00EF573B"/>
    <w:rsid w:val="00F00A79"/>
    <w:rsid w:val="00F00E86"/>
    <w:rsid w:val="00F00F8B"/>
    <w:rsid w:val="00F01EF4"/>
    <w:rsid w:val="00F03698"/>
    <w:rsid w:val="00F0429B"/>
    <w:rsid w:val="00F07C1E"/>
    <w:rsid w:val="00F105DB"/>
    <w:rsid w:val="00F132BC"/>
    <w:rsid w:val="00F13D80"/>
    <w:rsid w:val="00F15C09"/>
    <w:rsid w:val="00F162D7"/>
    <w:rsid w:val="00F16AAA"/>
    <w:rsid w:val="00F20454"/>
    <w:rsid w:val="00F21161"/>
    <w:rsid w:val="00F218EF"/>
    <w:rsid w:val="00F21BC7"/>
    <w:rsid w:val="00F2488E"/>
    <w:rsid w:val="00F253F4"/>
    <w:rsid w:val="00F26221"/>
    <w:rsid w:val="00F266A2"/>
    <w:rsid w:val="00F31728"/>
    <w:rsid w:val="00F32269"/>
    <w:rsid w:val="00F4457E"/>
    <w:rsid w:val="00F44817"/>
    <w:rsid w:val="00F44F3F"/>
    <w:rsid w:val="00F516DF"/>
    <w:rsid w:val="00F54588"/>
    <w:rsid w:val="00F56A6F"/>
    <w:rsid w:val="00F56D0D"/>
    <w:rsid w:val="00F5709C"/>
    <w:rsid w:val="00F60C90"/>
    <w:rsid w:val="00F6206C"/>
    <w:rsid w:val="00F64EF1"/>
    <w:rsid w:val="00F6527A"/>
    <w:rsid w:val="00F74574"/>
    <w:rsid w:val="00F77BCB"/>
    <w:rsid w:val="00F827A4"/>
    <w:rsid w:val="00F8420E"/>
    <w:rsid w:val="00F8765F"/>
    <w:rsid w:val="00F90767"/>
    <w:rsid w:val="00F91742"/>
    <w:rsid w:val="00F93578"/>
    <w:rsid w:val="00FA685B"/>
    <w:rsid w:val="00FA76BC"/>
    <w:rsid w:val="00FB0C01"/>
    <w:rsid w:val="00FB166B"/>
    <w:rsid w:val="00FB2DC9"/>
    <w:rsid w:val="00FB7C4E"/>
    <w:rsid w:val="00FC18F2"/>
    <w:rsid w:val="00FC31AD"/>
    <w:rsid w:val="00FC39E5"/>
    <w:rsid w:val="00FC3A78"/>
    <w:rsid w:val="00FC5FFE"/>
    <w:rsid w:val="00FD03DD"/>
    <w:rsid w:val="00FD1005"/>
    <w:rsid w:val="00FD20C6"/>
    <w:rsid w:val="00FD3180"/>
    <w:rsid w:val="00FD6C75"/>
    <w:rsid w:val="00FE1201"/>
    <w:rsid w:val="00FE3AD2"/>
    <w:rsid w:val="00FE71B3"/>
    <w:rsid w:val="00FF1958"/>
    <w:rsid w:val="00FF2AC9"/>
    <w:rsid w:val="00FF42C5"/>
    <w:rsid w:val="00FF4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E62A2"/>
    <w:pPr>
      <w:jc w:val="both"/>
    </w:pPr>
    <w:rPr>
      <w:rFonts w:eastAsiaTheme="minorEastAsia"/>
      <w:sz w:val="24"/>
      <w:lang w:val="en-GB"/>
    </w:rPr>
  </w:style>
  <w:style w:type="paragraph" w:styleId="Heading1">
    <w:name w:val="heading 1"/>
    <w:basedOn w:val="Normal"/>
    <w:next w:val="Normal"/>
    <w:link w:val="Heading1Char"/>
    <w:uiPriority w:val="99"/>
    <w:semiHidden/>
    <w:rsid w:val="00CE62A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CE62A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CE62A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CE62A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CE62A2"/>
    <w:pPr>
      <w:spacing w:before="200"/>
      <w:outlineLvl w:val="4"/>
    </w:pPr>
    <w:rPr>
      <w:rFonts w:asciiTheme="majorHAnsi" w:eastAsiaTheme="majorEastAsia" w:hAnsiTheme="majorHAnsi" w:cstheme="majorBidi"/>
      <w:b/>
      <w:bCs/>
      <w:color w:val="808080"/>
      <w:sz w:val="22"/>
      <w:lang w:val="en-US"/>
    </w:rPr>
  </w:style>
  <w:style w:type="paragraph" w:styleId="Heading6">
    <w:name w:val="heading 6"/>
    <w:basedOn w:val="Normal"/>
    <w:next w:val="Normal"/>
    <w:link w:val="Heading6Char"/>
    <w:uiPriority w:val="99"/>
    <w:semiHidden/>
    <w:rsid w:val="00CE62A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CE62A2"/>
    <w:pPr>
      <w:outlineLvl w:val="6"/>
    </w:pPr>
    <w:rPr>
      <w:rFonts w:asciiTheme="majorHAnsi" w:eastAsiaTheme="majorEastAsia" w:hAnsiTheme="majorHAnsi" w:cstheme="majorBidi"/>
      <w:i/>
      <w:iCs/>
      <w:sz w:val="22"/>
      <w:lang w:val="en-US" w:bidi="en-US"/>
    </w:rPr>
  </w:style>
  <w:style w:type="paragraph" w:styleId="Heading8">
    <w:name w:val="heading 8"/>
    <w:basedOn w:val="Normal"/>
    <w:next w:val="Normal"/>
    <w:link w:val="Heading8Char"/>
    <w:uiPriority w:val="99"/>
    <w:semiHidden/>
    <w:qFormat/>
    <w:rsid w:val="00CE62A2"/>
    <w:pPr>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9"/>
    <w:semiHidden/>
    <w:qFormat/>
    <w:rsid w:val="00CE62A2"/>
    <w:pPr>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E62A2"/>
    <w:rPr>
      <w:rFonts w:ascii="Tahoma" w:hAnsi="Tahoma" w:cs="Tahoma"/>
      <w:sz w:val="16"/>
      <w:szCs w:val="16"/>
    </w:rPr>
  </w:style>
  <w:style w:type="character" w:customStyle="1" w:styleId="BalloonTextChar">
    <w:name w:val="Balloon Text Char"/>
    <w:basedOn w:val="DefaultParagraphFont"/>
    <w:link w:val="BalloonText"/>
    <w:uiPriority w:val="99"/>
    <w:semiHidden/>
    <w:rsid w:val="00CE62A2"/>
    <w:rPr>
      <w:rFonts w:ascii="Tahoma" w:eastAsiaTheme="minorEastAsia" w:hAnsi="Tahoma" w:cs="Tahoma"/>
      <w:sz w:val="16"/>
      <w:szCs w:val="16"/>
      <w:lang w:val="en-GB"/>
    </w:rPr>
  </w:style>
  <w:style w:type="character" w:styleId="BookTitle">
    <w:name w:val="Book Title"/>
    <w:uiPriority w:val="99"/>
    <w:semiHidden/>
    <w:qFormat/>
    <w:rsid w:val="00CE62A2"/>
    <w:rPr>
      <w:i/>
      <w:iCs/>
      <w:smallCaps/>
      <w:spacing w:val="5"/>
    </w:rPr>
  </w:style>
  <w:style w:type="paragraph" w:customStyle="1" w:styleId="ECHRHeader">
    <w:name w:val="ECHR_Header"/>
    <w:aliases w:val="Ju_Header"/>
    <w:basedOn w:val="Header"/>
    <w:uiPriority w:val="4"/>
    <w:qFormat/>
    <w:rsid w:val="00CE62A2"/>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CE62A2"/>
    <w:pPr>
      <w:jc w:val="left"/>
    </w:pPr>
    <w:rPr>
      <w:sz w:val="8"/>
    </w:rPr>
  </w:style>
  <w:style w:type="character" w:styleId="Strong">
    <w:name w:val="Strong"/>
    <w:uiPriority w:val="99"/>
    <w:semiHidden/>
    <w:qFormat/>
    <w:rsid w:val="00CE62A2"/>
    <w:rPr>
      <w:b/>
      <w:bCs/>
    </w:rPr>
  </w:style>
  <w:style w:type="paragraph" w:styleId="NoSpacing">
    <w:name w:val="No Spacing"/>
    <w:basedOn w:val="Normal"/>
    <w:link w:val="NoSpacingChar"/>
    <w:semiHidden/>
    <w:qFormat/>
    <w:rsid w:val="00CE62A2"/>
    <w:rPr>
      <w:sz w:val="22"/>
      <w:lang w:val="en-US"/>
    </w:rPr>
  </w:style>
  <w:style w:type="character" w:customStyle="1" w:styleId="NoSpacingChar">
    <w:name w:val="No Spacing Char"/>
    <w:basedOn w:val="DefaultParagraphFont"/>
    <w:link w:val="NoSpacing"/>
    <w:semiHidden/>
    <w:rsid w:val="00CE62A2"/>
    <w:rPr>
      <w:rFonts w:eastAsiaTheme="minorEastAsia"/>
    </w:rPr>
  </w:style>
  <w:style w:type="paragraph" w:customStyle="1" w:styleId="ECHRFooterLine">
    <w:name w:val="ECHR_Footer_Line"/>
    <w:aliases w:val="Footer_Line"/>
    <w:basedOn w:val="Normal"/>
    <w:next w:val="ECHRFooter"/>
    <w:uiPriority w:val="57"/>
    <w:semiHidden/>
    <w:rsid w:val="00CE62A2"/>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CE62A2"/>
  </w:style>
  <w:style w:type="paragraph" w:customStyle="1" w:styleId="DecList">
    <w:name w:val="Dec_List"/>
    <w:basedOn w:val="Normal"/>
    <w:uiPriority w:val="9"/>
    <w:semiHidden/>
    <w:qFormat/>
    <w:rsid w:val="00CE62A2"/>
    <w:pPr>
      <w:spacing w:before="240"/>
      <w:ind w:left="284"/>
    </w:pPr>
  </w:style>
  <w:style w:type="paragraph" w:customStyle="1" w:styleId="DummyStyle">
    <w:name w:val="Dummy_Style"/>
    <w:basedOn w:val="Normal"/>
    <w:semiHidden/>
    <w:qFormat/>
    <w:rsid w:val="00CE62A2"/>
    <w:rPr>
      <w:color w:val="00B050"/>
    </w:rPr>
  </w:style>
  <w:style w:type="paragraph" w:customStyle="1" w:styleId="ECHRTitleCentre3">
    <w:name w:val="ECHR_Title_Centre_3"/>
    <w:aliases w:val="Ju_H_Article"/>
    <w:basedOn w:val="Normal"/>
    <w:next w:val="ECHRParaQuote"/>
    <w:uiPriority w:val="27"/>
    <w:qFormat/>
    <w:rsid w:val="00CE62A2"/>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CE62A2"/>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CE62A2"/>
    <w:pPr>
      <w:numPr>
        <w:numId w:val="23"/>
      </w:numPr>
      <w:jc w:val="left"/>
    </w:pPr>
    <w:rPr>
      <w:b/>
    </w:rPr>
  </w:style>
  <w:style w:type="paragraph" w:customStyle="1" w:styleId="JuCourt">
    <w:name w:val="Ju_Court"/>
    <w:basedOn w:val="Normal"/>
    <w:next w:val="Normal"/>
    <w:uiPriority w:val="16"/>
    <w:qFormat/>
    <w:rsid w:val="00CE62A2"/>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CE62A2"/>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CE62A2"/>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CE62A2"/>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CE62A2"/>
    <w:pPr>
      <w:pBdr>
        <w:bottom w:val="single" w:sz="4" w:space="1" w:color="auto"/>
      </w:pBdr>
      <w:contextualSpacing/>
    </w:pPr>
    <w:rPr>
      <w:rFonts w:asciiTheme="majorHAnsi" w:eastAsiaTheme="majorEastAsia" w:hAnsiTheme="majorHAnsi" w:cstheme="majorBidi"/>
      <w:spacing w:val="5"/>
      <w:sz w:val="52"/>
      <w:szCs w:val="52"/>
      <w:lang w:val="en-US" w:bidi="en-US"/>
    </w:rPr>
  </w:style>
  <w:style w:type="character" w:customStyle="1" w:styleId="TitleChar">
    <w:name w:val="Title Char"/>
    <w:basedOn w:val="DefaultParagraphFont"/>
    <w:link w:val="Title"/>
    <w:uiPriority w:val="99"/>
    <w:semiHidden/>
    <w:rsid w:val="00CE62A2"/>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CE62A2"/>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CE62A2"/>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CE62A2"/>
    <w:pPr>
      <w:keepNext/>
      <w:keepLines/>
      <w:tabs>
        <w:tab w:val="left" w:pos="1191"/>
      </w:tabs>
      <w:spacing w:before="240" w:after="120"/>
      <w:ind w:left="1190" w:hanging="357"/>
    </w:pPr>
    <w:rPr>
      <w:b w:val="0"/>
      <w:i/>
      <w:color w:val="auto"/>
      <w:sz w:val="20"/>
      <w:lang w:val="en-GB"/>
    </w:rPr>
  </w:style>
  <w:style w:type="paragraph" w:customStyle="1" w:styleId="ECHRHeading6">
    <w:name w:val="ECHR_Heading_6"/>
    <w:aliases w:val="Ju_H_alpha"/>
    <w:basedOn w:val="Heading6"/>
    <w:next w:val="ECHRPara"/>
    <w:uiPriority w:val="24"/>
    <w:qFormat/>
    <w:rsid w:val="00CE62A2"/>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CE62A2"/>
    <w:pPr>
      <w:keepNext/>
      <w:keepLines/>
      <w:spacing w:before="240" w:after="120"/>
      <w:ind w:left="1236"/>
    </w:pPr>
    <w:rPr>
      <w:sz w:val="20"/>
      <w:lang w:val="en-GB"/>
    </w:rPr>
  </w:style>
  <w:style w:type="paragraph" w:customStyle="1" w:styleId="JuInitialled">
    <w:name w:val="Ju_Initialled"/>
    <w:basedOn w:val="Normal"/>
    <w:uiPriority w:val="31"/>
    <w:qFormat/>
    <w:rsid w:val="00CE62A2"/>
    <w:pPr>
      <w:tabs>
        <w:tab w:val="center" w:pos="6407"/>
      </w:tabs>
      <w:spacing w:before="720"/>
      <w:jc w:val="right"/>
    </w:pPr>
  </w:style>
  <w:style w:type="character" w:customStyle="1" w:styleId="JuITMark">
    <w:name w:val="Ju_ITMark"/>
    <w:basedOn w:val="DefaultParagraphFont"/>
    <w:uiPriority w:val="38"/>
    <w:qFormat/>
    <w:rsid w:val="00CE62A2"/>
    <w:rPr>
      <w:vanish w:val="0"/>
      <w:color w:val="auto"/>
      <w:sz w:val="14"/>
      <w:bdr w:val="none" w:sz="0" w:space="0" w:color="auto"/>
      <w:shd w:val="clear" w:color="auto" w:fill="BEE5FF" w:themeFill="background1" w:themeFillTint="33"/>
    </w:rPr>
  </w:style>
  <w:style w:type="character" w:customStyle="1" w:styleId="JUNAMES">
    <w:name w:val="JU_NAMES"/>
    <w:uiPriority w:val="17"/>
    <w:qFormat/>
    <w:rsid w:val="00CE62A2"/>
    <w:rPr>
      <w:caps w:val="0"/>
      <w:smallCaps/>
    </w:rPr>
  </w:style>
  <w:style w:type="paragraph" w:styleId="Header">
    <w:name w:val="header"/>
    <w:basedOn w:val="Normal"/>
    <w:link w:val="HeaderChar"/>
    <w:uiPriority w:val="57"/>
    <w:semiHidden/>
    <w:rsid w:val="00CE62A2"/>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CE62A2"/>
    <w:rPr>
      <w:sz w:val="24"/>
      <w:lang w:val="en-GB"/>
    </w:rPr>
  </w:style>
  <w:style w:type="character" w:customStyle="1" w:styleId="Heading1Char">
    <w:name w:val="Heading 1 Char"/>
    <w:basedOn w:val="DefaultParagraphFont"/>
    <w:link w:val="Heading1"/>
    <w:uiPriority w:val="99"/>
    <w:semiHidden/>
    <w:rsid w:val="00CE62A2"/>
    <w:rPr>
      <w:rFonts w:asciiTheme="majorHAnsi" w:eastAsiaTheme="majorEastAsia" w:hAnsiTheme="majorHAnsi" w:cstheme="majorBidi"/>
      <w:b/>
      <w:bCs/>
      <w:color w:val="333333"/>
      <w:sz w:val="28"/>
      <w:szCs w:val="28"/>
      <w:lang w:val="en-GB"/>
    </w:rPr>
  </w:style>
  <w:style w:type="paragraph" w:customStyle="1" w:styleId="ECHRHeading1">
    <w:name w:val="ECHR_Heading_1"/>
    <w:aliases w:val="Ju_H_I_Roman"/>
    <w:basedOn w:val="Heading1"/>
    <w:next w:val="ECHRPara"/>
    <w:uiPriority w:val="19"/>
    <w:qFormat/>
    <w:rsid w:val="00CE62A2"/>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CE62A2"/>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CE62A2"/>
    <w:rPr>
      <w:rFonts w:asciiTheme="majorHAnsi" w:eastAsiaTheme="majorEastAsia" w:hAnsiTheme="majorHAnsi" w:cstheme="majorBidi"/>
      <w:b/>
      <w:bCs/>
      <w:color w:val="4D4D4D"/>
      <w:sz w:val="26"/>
      <w:szCs w:val="26"/>
      <w:lang w:val="en-GB"/>
    </w:rPr>
  </w:style>
  <w:style w:type="paragraph" w:customStyle="1" w:styleId="JuParaSub">
    <w:name w:val="Ju_Para_Sub"/>
    <w:basedOn w:val="ECHRPara"/>
    <w:uiPriority w:val="13"/>
    <w:qFormat/>
    <w:rsid w:val="00CE62A2"/>
    <w:pPr>
      <w:ind w:left="284"/>
    </w:pPr>
  </w:style>
  <w:style w:type="paragraph" w:customStyle="1" w:styleId="JuCase">
    <w:name w:val="Ju_Case"/>
    <w:basedOn w:val="Normal"/>
    <w:next w:val="ECHRPara"/>
    <w:uiPriority w:val="10"/>
    <w:rsid w:val="00CE62A2"/>
    <w:pPr>
      <w:ind w:firstLine="284"/>
    </w:pPr>
    <w:rPr>
      <w:b/>
    </w:rPr>
  </w:style>
  <w:style w:type="character" w:customStyle="1" w:styleId="Heading3Char">
    <w:name w:val="Heading 3 Char"/>
    <w:basedOn w:val="DefaultParagraphFont"/>
    <w:link w:val="Heading3"/>
    <w:uiPriority w:val="99"/>
    <w:semiHidden/>
    <w:rsid w:val="00CE62A2"/>
    <w:rPr>
      <w:rFonts w:asciiTheme="majorHAnsi" w:eastAsiaTheme="majorEastAsia" w:hAnsiTheme="majorHAnsi" w:cstheme="majorBidi"/>
      <w:b/>
      <w:bCs/>
      <w:color w:val="5F5F5F"/>
      <w:sz w:val="24"/>
      <w:lang w:val="en-GB"/>
    </w:rPr>
  </w:style>
  <w:style w:type="character" w:customStyle="1" w:styleId="Heading4Char">
    <w:name w:val="Heading 4 Char"/>
    <w:basedOn w:val="DefaultParagraphFont"/>
    <w:link w:val="Heading4"/>
    <w:uiPriority w:val="99"/>
    <w:semiHidden/>
    <w:rsid w:val="00CE62A2"/>
    <w:rPr>
      <w:rFonts w:asciiTheme="majorHAnsi" w:eastAsiaTheme="majorEastAsia" w:hAnsiTheme="majorHAnsi" w:cstheme="majorBidi"/>
      <w:b/>
      <w:bCs/>
      <w:i/>
      <w:iCs/>
      <w:color w:val="777777"/>
      <w:sz w:val="24"/>
      <w:lang w:val="en-GB"/>
    </w:rPr>
  </w:style>
  <w:style w:type="character" w:customStyle="1" w:styleId="Heading5Char">
    <w:name w:val="Heading 5 Char"/>
    <w:basedOn w:val="DefaultParagraphFont"/>
    <w:link w:val="Heading5"/>
    <w:uiPriority w:val="99"/>
    <w:semiHidden/>
    <w:rsid w:val="00CE62A2"/>
    <w:rPr>
      <w:rFonts w:asciiTheme="majorHAnsi" w:eastAsiaTheme="majorEastAsia" w:hAnsiTheme="majorHAnsi" w:cstheme="majorBidi"/>
      <w:b/>
      <w:bCs/>
      <w:color w:val="808080"/>
    </w:rPr>
  </w:style>
  <w:style w:type="character" w:styleId="SubtleEmphasis">
    <w:name w:val="Subtle Emphasis"/>
    <w:uiPriority w:val="99"/>
    <w:semiHidden/>
    <w:qFormat/>
    <w:rsid w:val="00CE62A2"/>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CE62A2"/>
    <w:pPr>
      <w:keepNext/>
      <w:keepLines/>
      <w:spacing w:before="720" w:after="240"/>
      <w:outlineLvl w:val="0"/>
    </w:pPr>
    <w:rPr>
      <w:rFonts w:asciiTheme="majorHAnsi" w:hAnsiTheme="majorHAnsi"/>
      <w:sz w:val="28"/>
    </w:rPr>
  </w:style>
  <w:style w:type="character" w:styleId="Emphasis">
    <w:name w:val="Emphasis"/>
    <w:uiPriority w:val="99"/>
    <w:semiHidden/>
    <w:qFormat/>
    <w:rsid w:val="00CE62A2"/>
    <w:rPr>
      <w:b/>
      <w:bCs/>
      <w:i/>
      <w:iCs/>
      <w:spacing w:val="10"/>
      <w:bdr w:val="none" w:sz="0" w:space="0" w:color="auto"/>
      <w:shd w:val="clear" w:color="auto" w:fill="auto"/>
    </w:rPr>
  </w:style>
  <w:style w:type="paragraph" w:styleId="Footer">
    <w:name w:val="footer"/>
    <w:basedOn w:val="Normal"/>
    <w:link w:val="FooterChar"/>
    <w:uiPriority w:val="57"/>
    <w:semiHidden/>
    <w:rsid w:val="00CE62A2"/>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CE62A2"/>
    <w:rPr>
      <w:sz w:val="24"/>
      <w:lang w:val="en-GB"/>
    </w:rPr>
  </w:style>
  <w:style w:type="character" w:styleId="FootnoteReference">
    <w:name w:val="footnote reference"/>
    <w:basedOn w:val="DefaultParagraphFont"/>
    <w:uiPriority w:val="99"/>
    <w:semiHidden/>
    <w:rsid w:val="00CE62A2"/>
    <w:rPr>
      <w:vertAlign w:val="superscript"/>
    </w:rPr>
  </w:style>
  <w:style w:type="paragraph" w:styleId="FootnoteText">
    <w:name w:val="footnote text"/>
    <w:basedOn w:val="Normal"/>
    <w:link w:val="FootnoteTextChar"/>
    <w:uiPriority w:val="99"/>
    <w:semiHidden/>
    <w:rsid w:val="00CE62A2"/>
    <w:rPr>
      <w:sz w:val="20"/>
      <w:szCs w:val="20"/>
    </w:rPr>
  </w:style>
  <w:style w:type="character" w:customStyle="1" w:styleId="FootnoteTextChar">
    <w:name w:val="Footnote Text Char"/>
    <w:basedOn w:val="DefaultParagraphFont"/>
    <w:link w:val="FootnoteText"/>
    <w:uiPriority w:val="99"/>
    <w:semiHidden/>
    <w:rsid w:val="00CE62A2"/>
    <w:rPr>
      <w:rFonts w:eastAsiaTheme="minorEastAsia"/>
      <w:sz w:val="20"/>
      <w:szCs w:val="20"/>
      <w:lang w:val="en-GB"/>
    </w:rPr>
  </w:style>
  <w:style w:type="character" w:customStyle="1" w:styleId="Heading6Char">
    <w:name w:val="Heading 6 Char"/>
    <w:basedOn w:val="DefaultParagraphFont"/>
    <w:link w:val="Heading6"/>
    <w:uiPriority w:val="99"/>
    <w:semiHidden/>
    <w:rsid w:val="00CE62A2"/>
    <w:rPr>
      <w:rFonts w:asciiTheme="majorHAnsi" w:eastAsiaTheme="majorEastAsia" w:hAnsiTheme="majorHAnsi" w:cstheme="majorBidi"/>
      <w:b/>
      <w:bCs/>
      <w:i/>
      <w:iCs/>
      <w:color w:val="7F7F7F" w:themeColor="text1" w:themeTint="80"/>
      <w:sz w:val="24"/>
      <w:lang w:val="en-GB" w:bidi="en-US"/>
    </w:rPr>
  </w:style>
  <w:style w:type="character" w:customStyle="1" w:styleId="Heading7Char">
    <w:name w:val="Heading 7 Char"/>
    <w:basedOn w:val="DefaultParagraphFont"/>
    <w:link w:val="Heading7"/>
    <w:uiPriority w:val="99"/>
    <w:semiHidden/>
    <w:rsid w:val="00CE62A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CE62A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CE62A2"/>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CE62A2"/>
    <w:rPr>
      <w:color w:val="0072BC" w:themeColor="hyperlink"/>
      <w:u w:val="single"/>
    </w:rPr>
  </w:style>
  <w:style w:type="character" w:styleId="IntenseEmphasis">
    <w:name w:val="Intense Emphasis"/>
    <w:uiPriority w:val="99"/>
    <w:semiHidden/>
    <w:qFormat/>
    <w:rsid w:val="00CE62A2"/>
    <w:rPr>
      <w:b/>
      <w:bCs/>
    </w:rPr>
  </w:style>
  <w:style w:type="paragraph" w:styleId="IntenseQuote">
    <w:name w:val="Intense Quote"/>
    <w:basedOn w:val="Normal"/>
    <w:next w:val="Normal"/>
    <w:link w:val="IntenseQuoteChar"/>
    <w:uiPriority w:val="99"/>
    <w:semiHidden/>
    <w:qFormat/>
    <w:rsid w:val="00CE62A2"/>
    <w:pPr>
      <w:pBdr>
        <w:bottom w:val="single" w:sz="4" w:space="1" w:color="auto"/>
      </w:pBdr>
      <w:spacing w:before="200" w:after="280"/>
      <w:ind w:left="1008" w:right="1152"/>
    </w:pPr>
    <w:rPr>
      <w:b/>
      <w:bCs/>
      <w:i/>
      <w:iCs/>
      <w:sz w:val="22"/>
      <w:lang w:val="en-US" w:bidi="en-US"/>
    </w:rPr>
  </w:style>
  <w:style w:type="character" w:customStyle="1" w:styleId="IntenseQuoteChar">
    <w:name w:val="Intense Quote Char"/>
    <w:basedOn w:val="DefaultParagraphFont"/>
    <w:link w:val="IntenseQuote"/>
    <w:uiPriority w:val="99"/>
    <w:semiHidden/>
    <w:rsid w:val="00CE62A2"/>
    <w:rPr>
      <w:rFonts w:eastAsiaTheme="minorEastAsia"/>
      <w:b/>
      <w:bCs/>
      <w:i/>
      <w:iCs/>
      <w:lang w:bidi="en-US"/>
    </w:rPr>
  </w:style>
  <w:style w:type="character" w:styleId="IntenseReference">
    <w:name w:val="Intense Reference"/>
    <w:uiPriority w:val="99"/>
    <w:semiHidden/>
    <w:qFormat/>
    <w:rsid w:val="00CE62A2"/>
    <w:rPr>
      <w:smallCaps/>
      <w:spacing w:val="5"/>
      <w:u w:val="single"/>
    </w:rPr>
  </w:style>
  <w:style w:type="paragraph" w:styleId="ListParagraph">
    <w:name w:val="List Paragraph"/>
    <w:basedOn w:val="Normal"/>
    <w:uiPriority w:val="99"/>
    <w:semiHidden/>
    <w:qFormat/>
    <w:rsid w:val="00CE62A2"/>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CE62A2"/>
    <w:pPr>
      <w:spacing w:before="200"/>
      <w:ind w:left="360" w:right="360"/>
    </w:pPr>
    <w:rPr>
      <w:i/>
      <w:iCs/>
      <w:sz w:val="22"/>
      <w:lang w:val="en-US" w:bidi="en-US"/>
    </w:rPr>
  </w:style>
  <w:style w:type="character" w:customStyle="1" w:styleId="QuoteChar">
    <w:name w:val="Quote Char"/>
    <w:basedOn w:val="DefaultParagraphFont"/>
    <w:link w:val="Quote"/>
    <w:uiPriority w:val="99"/>
    <w:semiHidden/>
    <w:rsid w:val="00CE62A2"/>
    <w:rPr>
      <w:rFonts w:eastAsiaTheme="minorEastAsia"/>
      <w:i/>
      <w:iCs/>
      <w:lang w:bidi="en-US"/>
    </w:rPr>
  </w:style>
  <w:style w:type="character" w:styleId="SubtleReference">
    <w:name w:val="Subtle Reference"/>
    <w:uiPriority w:val="99"/>
    <w:semiHidden/>
    <w:qFormat/>
    <w:rsid w:val="00CE62A2"/>
    <w:rPr>
      <w:smallCaps/>
    </w:rPr>
  </w:style>
  <w:style w:type="table" w:styleId="TableGrid">
    <w:name w:val="Table Grid"/>
    <w:basedOn w:val="TableNormal"/>
    <w:uiPriority w:val="59"/>
    <w:semiHidden/>
    <w:rsid w:val="00CE62A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CE62A2"/>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CE62A2"/>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CE62A2"/>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CE62A2"/>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CE62A2"/>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CE62A2"/>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CE62A2"/>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CE62A2"/>
    <w:pPr>
      <w:spacing w:before="120" w:after="120"/>
      <w:ind w:left="425" w:firstLine="142"/>
    </w:pPr>
    <w:rPr>
      <w:sz w:val="20"/>
    </w:rPr>
  </w:style>
  <w:style w:type="paragraph" w:customStyle="1" w:styleId="ECHRPara">
    <w:name w:val="ECHR_Para"/>
    <w:aliases w:val="Ju_Para"/>
    <w:basedOn w:val="Normal"/>
    <w:link w:val="ECHRParaChar"/>
    <w:uiPriority w:val="12"/>
    <w:qFormat/>
    <w:rsid w:val="00CE62A2"/>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CE62A2"/>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CE62A2"/>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link w:val="JuListChar"/>
    <w:uiPriority w:val="28"/>
    <w:qFormat/>
    <w:rsid w:val="00CE62A2"/>
    <w:pPr>
      <w:ind w:left="340" w:hanging="340"/>
    </w:pPr>
  </w:style>
  <w:style w:type="paragraph" w:customStyle="1" w:styleId="JuSigned">
    <w:name w:val="Ju_Signed"/>
    <w:basedOn w:val="Normal"/>
    <w:next w:val="JuParaLast"/>
    <w:uiPriority w:val="32"/>
    <w:qFormat/>
    <w:rsid w:val="00CE62A2"/>
    <w:pPr>
      <w:tabs>
        <w:tab w:val="center" w:pos="851"/>
        <w:tab w:val="center" w:pos="6407"/>
      </w:tabs>
      <w:spacing w:before="720"/>
      <w:jc w:val="left"/>
    </w:pPr>
  </w:style>
  <w:style w:type="paragraph" w:customStyle="1" w:styleId="JuParaLast">
    <w:name w:val="Ju_Para_Last"/>
    <w:basedOn w:val="Normal"/>
    <w:next w:val="ECHRPara"/>
    <w:uiPriority w:val="30"/>
    <w:qFormat/>
    <w:rsid w:val="00CE62A2"/>
    <w:pPr>
      <w:keepNext/>
      <w:keepLines/>
      <w:spacing w:before="240"/>
      <w:ind w:firstLine="284"/>
    </w:pPr>
  </w:style>
  <w:style w:type="paragraph" w:customStyle="1" w:styleId="JuQuotSub">
    <w:name w:val="Ju_Quot_Sub"/>
    <w:basedOn w:val="ECHRParaQuote"/>
    <w:uiPriority w:val="15"/>
    <w:qFormat/>
    <w:rsid w:val="00CE62A2"/>
    <w:pPr>
      <w:ind w:left="567"/>
    </w:p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CE62A2"/>
    <w:pPr>
      <w:ind w:left="346" w:firstLine="0"/>
    </w:pPr>
  </w:style>
  <w:style w:type="paragraph" w:customStyle="1" w:styleId="JuListi">
    <w:name w:val="Ju_List_i"/>
    <w:basedOn w:val="Normal"/>
    <w:next w:val="JuLista"/>
    <w:uiPriority w:val="28"/>
    <w:qFormat/>
    <w:rsid w:val="00CE62A2"/>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basedOn w:val="DefaultParagraphFont"/>
    <w:uiPriority w:val="99"/>
    <w:semiHidden/>
    <w:rsid w:val="00CE62A2"/>
    <w:rPr>
      <w:vertAlign w:val="superscript"/>
    </w:rPr>
  </w:style>
  <w:style w:type="paragraph" w:styleId="EndnoteText">
    <w:name w:val="endnote text"/>
    <w:basedOn w:val="Normal"/>
    <w:link w:val="EndnoteTextChar"/>
    <w:uiPriority w:val="99"/>
    <w:semiHidden/>
    <w:rsid w:val="00CE62A2"/>
    <w:rPr>
      <w:sz w:val="20"/>
      <w:szCs w:val="20"/>
    </w:rPr>
  </w:style>
  <w:style w:type="character" w:customStyle="1" w:styleId="EndnoteTextChar">
    <w:name w:val="Endnote Text Char"/>
    <w:basedOn w:val="DefaultParagraphFont"/>
    <w:link w:val="EndnoteText"/>
    <w:uiPriority w:val="99"/>
    <w:semiHidden/>
    <w:rsid w:val="00CE62A2"/>
    <w:rPr>
      <w:rFonts w:eastAsiaTheme="minorEastAsia"/>
      <w:sz w:val="20"/>
      <w:szCs w:val="20"/>
      <w:lang w:val="en-GB"/>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CE62A2"/>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CE62A2"/>
    <w:pPr>
      <w:ind w:left="833" w:hanging="357"/>
      <w:outlineLvl w:val="3"/>
    </w:pPr>
    <w:rPr>
      <w:b/>
      <w:i w:val="0"/>
      <w:sz w:val="20"/>
    </w:rPr>
  </w:style>
  <w:style w:type="paragraph" w:styleId="Subtitle">
    <w:name w:val="Subtitle"/>
    <w:basedOn w:val="Normal"/>
    <w:next w:val="Normal"/>
    <w:link w:val="SubtitleChar"/>
    <w:uiPriority w:val="99"/>
    <w:semiHidden/>
    <w:qFormat/>
    <w:rsid w:val="00CE62A2"/>
    <w:pPr>
      <w:spacing w:after="600"/>
    </w:pPr>
    <w:rPr>
      <w:rFonts w:asciiTheme="majorHAnsi" w:eastAsiaTheme="majorEastAsia" w:hAnsiTheme="majorHAnsi" w:cstheme="majorBidi"/>
      <w:i/>
      <w:iCs/>
      <w:spacing w:val="13"/>
      <w:szCs w:val="24"/>
      <w:lang w:val="en-US" w:bidi="en-US"/>
    </w:rPr>
  </w:style>
  <w:style w:type="character" w:customStyle="1" w:styleId="SubtitleChar">
    <w:name w:val="Subtitle Char"/>
    <w:basedOn w:val="DefaultParagraphFont"/>
    <w:link w:val="Subtitle"/>
    <w:uiPriority w:val="99"/>
    <w:semiHidden/>
    <w:rsid w:val="00CE62A2"/>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CE62A2"/>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CE62A2"/>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CE62A2"/>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CE62A2"/>
    <w:pPr>
      <w:tabs>
        <w:tab w:val="clear" w:pos="357"/>
      </w:tabs>
      <w:outlineLvl w:val="1"/>
    </w:pPr>
    <w:rPr>
      <w:b/>
    </w:rPr>
  </w:style>
  <w:style w:type="paragraph" w:customStyle="1" w:styleId="OpiHi">
    <w:name w:val="Opi_H_i"/>
    <w:basedOn w:val="ECHRHeading4"/>
    <w:uiPriority w:val="44"/>
    <w:qFormat/>
    <w:rsid w:val="00CE62A2"/>
    <w:pPr>
      <w:ind w:left="1037" w:hanging="357"/>
      <w:outlineLvl w:val="4"/>
    </w:pPr>
    <w:rPr>
      <w:b w:val="0"/>
      <w:i/>
    </w:rPr>
  </w:style>
  <w:style w:type="paragraph" w:customStyle="1" w:styleId="OpiPara">
    <w:name w:val="Opi_Para"/>
    <w:basedOn w:val="ECHRPara"/>
    <w:uiPriority w:val="46"/>
    <w:qFormat/>
    <w:rsid w:val="00CE62A2"/>
  </w:style>
  <w:style w:type="paragraph" w:customStyle="1" w:styleId="OpiParaSub">
    <w:name w:val="Opi_Para_Sub"/>
    <w:basedOn w:val="JuParaSub"/>
    <w:uiPriority w:val="47"/>
    <w:qFormat/>
    <w:rsid w:val="00CE62A2"/>
  </w:style>
  <w:style w:type="paragraph" w:customStyle="1" w:styleId="OpiQuot">
    <w:name w:val="Opi_Quot"/>
    <w:basedOn w:val="ECHRParaQuote"/>
    <w:uiPriority w:val="48"/>
    <w:qFormat/>
    <w:rsid w:val="00CE62A2"/>
  </w:style>
  <w:style w:type="paragraph" w:customStyle="1" w:styleId="OpiQuotSub">
    <w:name w:val="Opi_Quot_Sub"/>
    <w:basedOn w:val="JuQuotSub"/>
    <w:uiPriority w:val="49"/>
    <w:qFormat/>
    <w:rsid w:val="00CE62A2"/>
  </w:style>
  <w:style w:type="paragraph" w:customStyle="1" w:styleId="OpiTranslation">
    <w:name w:val="Opi_Translation"/>
    <w:basedOn w:val="Normal"/>
    <w:next w:val="OpiPara"/>
    <w:uiPriority w:val="40"/>
    <w:qFormat/>
    <w:rsid w:val="00CE62A2"/>
    <w:pPr>
      <w:jc w:val="center"/>
      <w:outlineLvl w:val="0"/>
    </w:pPr>
    <w:rPr>
      <w:i/>
    </w:rPr>
  </w:style>
  <w:style w:type="character" w:customStyle="1" w:styleId="ECHRParaChar">
    <w:name w:val="ECHR_Para Char"/>
    <w:aliases w:val="Ju_Para Char"/>
    <w:basedOn w:val="DefaultParagraphFont"/>
    <w:link w:val="ECHRPara"/>
    <w:uiPriority w:val="12"/>
    <w:rsid w:val="004B3DAA"/>
    <w:rPr>
      <w:rFonts w:eastAsiaTheme="minorEastAsia"/>
      <w:sz w:val="24"/>
      <w:lang w:val="en-GB"/>
    </w:rPr>
  </w:style>
  <w:style w:type="character" w:customStyle="1" w:styleId="JuListChar">
    <w:name w:val="Ju_List Char"/>
    <w:link w:val="JuList"/>
    <w:uiPriority w:val="28"/>
    <w:rsid w:val="009B5DB4"/>
    <w:rPr>
      <w:rFonts w:eastAsiaTheme="minorEastAsia"/>
      <w:sz w:val="24"/>
      <w:lang w:val="en-GB"/>
    </w:rPr>
  </w:style>
  <w:style w:type="paragraph" w:styleId="Revision">
    <w:name w:val="Revision"/>
    <w:hidden/>
    <w:uiPriority w:val="99"/>
    <w:semiHidden/>
    <w:rsid w:val="00561007"/>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1102">
      <w:bodyDiv w:val="1"/>
      <w:marLeft w:val="0"/>
      <w:marRight w:val="0"/>
      <w:marTop w:val="0"/>
      <w:marBottom w:val="0"/>
      <w:divBdr>
        <w:top w:val="none" w:sz="0" w:space="0" w:color="auto"/>
        <w:left w:val="none" w:sz="0" w:space="0" w:color="auto"/>
        <w:bottom w:val="none" w:sz="0" w:space="0" w:color="auto"/>
        <w:right w:val="none" w:sz="0" w:space="0" w:color="auto"/>
      </w:divBdr>
    </w:div>
    <w:div w:id="971401400">
      <w:bodyDiv w:val="1"/>
      <w:marLeft w:val="0"/>
      <w:marRight w:val="0"/>
      <w:marTop w:val="0"/>
      <w:marBottom w:val="0"/>
      <w:divBdr>
        <w:top w:val="none" w:sz="0" w:space="0" w:color="auto"/>
        <w:left w:val="none" w:sz="0" w:space="0" w:color="auto"/>
        <w:bottom w:val="none" w:sz="0" w:space="0" w:color="auto"/>
        <w:right w:val="none" w:sz="0" w:space="0" w:color="auto"/>
      </w:divBdr>
    </w:div>
    <w:div w:id="1119835709">
      <w:bodyDiv w:val="1"/>
      <w:marLeft w:val="0"/>
      <w:marRight w:val="0"/>
      <w:marTop w:val="0"/>
      <w:marBottom w:val="0"/>
      <w:divBdr>
        <w:top w:val="none" w:sz="0" w:space="0" w:color="auto"/>
        <w:left w:val="none" w:sz="0" w:space="0" w:color="auto"/>
        <w:bottom w:val="none" w:sz="0" w:space="0" w:color="auto"/>
        <w:right w:val="none" w:sz="0" w:space="0" w:color="auto"/>
      </w:divBdr>
      <w:divsChild>
        <w:div w:id="820541700">
          <w:marLeft w:val="336"/>
          <w:marRight w:val="0"/>
          <w:marTop w:val="120"/>
          <w:marBottom w:val="312"/>
          <w:divBdr>
            <w:top w:val="none" w:sz="0" w:space="0" w:color="auto"/>
            <w:left w:val="none" w:sz="0" w:space="0" w:color="auto"/>
            <w:bottom w:val="none" w:sz="0" w:space="0" w:color="auto"/>
            <w:right w:val="none" w:sz="0" w:space="0" w:color="auto"/>
          </w:divBdr>
          <w:divsChild>
            <w:div w:id="1262645831">
              <w:marLeft w:val="0"/>
              <w:marRight w:val="0"/>
              <w:marTop w:val="0"/>
              <w:marBottom w:val="0"/>
              <w:divBdr>
                <w:top w:val="single" w:sz="6" w:space="2" w:color="C8CCD1"/>
                <w:left w:val="single" w:sz="6" w:space="2" w:color="C8CCD1"/>
                <w:bottom w:val="single" w:sz="6" w:space="2" w:color="C8CCD1"/>
                <w:right w:val="single" w:sz="6" w:space="2" w:color="C8CCD1"/>
              </w:divBdr>
              <w:divsChild>
                <w:div w:id="1431661699">
                  <w:marLeft w:val="0"/>
                  <w:marRight w:val="0"/>
                  <w:marTop w:val="0"/>
                  <w:marBottom w:val="0"/>
                  <w:divBdr>
                    <w:top w:val="none" w:sz="0" w:space="0" w:color="auto"/>
                    <w:left w:val="none" w:sz="0" w:space="0" w:color="auto"/>
                    <w:bottom w:val="none" w:sz="0" w:space="0" w:color="auto"/>
                    <w:right w:val="none" w:sz="0" w:space="0" w:color="auto"/>
                  </w:divBdr>
                </w:div>
                <w:div w:id="144398895">
                  <w:marLeft w:val="0"/>
                  <w:marRight w:val="0"/>
                  <w:marTop w:val="0"/>
                  <w:marBottom w:val="0"/>
                  <w:divBdr>
                    <w:top w:val="none" w:sz="0" w:space="0" w:color="auto"/>
                    <w:left w:val="none" w:sz="0" w:space="0" w:color="auto"/>
                    <w:bottom w:val="none" w:sz="0" w:space="0" w:color="auto"/>
                    <w:right w:val="none" w:sz="0" w:space="0" w:color="auto"/>
                  </w:divBdr>
                </w:div>
                <w:div w:id="1429229331">
                  <w:marLeft w:val="0"/>
                  <w:marRight w:val="0"/>
                  <w:marTop w:val="0"/>
                  <w:marBottom w:val="0"/>
                  <w:divBdr>
                    <w:top w:val="none" w:sz="0" w:space="0" w:color="auto"/>
                    <w:left w:val="none" w:sz="0" w:space="0" w:color="auto"/>
                    <w:bottom w:val="none" w:sz="0" w:space="0" w:color="auto"/>
                    <w:right w:val="none" w:sz="0" w:space="0" w:color="auto"/>
                  </w:divBdr>
                </w:div>
                <w:div w:id="605426526">
                  <w:marLeft w:val="0"/>
                  <w:marRight w:val="0"/>
                  <w:marTop w:val="0"/>
                  <w:marBottom w:val="0"/>
                  <w:divBdr>
                    <w:top w:val="none" w:sz="0" w:space="0" w:color="auto"/>
                    <w:left w:val="none" w:sz="0" w:space="0" w:color="auto"/>
                    <w:bottom w:val="none" w:sz="0" w:space="0" w:color="auto"/>
                    <w:right w:val="none" w:sz="0" w:space="0" w:color="auto"/>
                  </w:divBdr>
                </w:div>
                <w:div w:id="421489242">
                  <w:marLeft w:val="0"/>
                  <w:marRight w:val="0"/>
                  <w:marTop w:val="0"/>
                  <w:marBottom w:val="0"/>
                  <w:divBdr>
                    <w:top w:val="none" w:sz="0" w:space="0" w:color="auto"/>
                    <w:left w:val="none" w:sz="0" w:space="0" w:color="auto"/>
                    <w:bottom w:val="none" w:sz="0" w:space="0" w:color="auto"/>
                    <w:right w:val="none" w:sz="0" w:space="0" w:color="auto"/>
                  </w:divBdr>
                </w:div>
                <w:div w:id="886526300">
                  <w:marLeft w:val="0"/>
                  <w:marRight w:val="0"/>
                  <w:marTop w:val="0"/>
                  <w:marBottom w:val="0"/>
                  <w:divBdr>
                    <w:top w:val="none" w:sz="0" w:space="0" w:color="auto"/>
                    <w:left w:val="none" w:sz="0" w:space="0" w:color="auto"/>
                    <w:bottom w:val="none" w:sz="0" w:space="0" w:color="auto"/>
                    <w:right w:val="none" w:sz="0" w:space="0" w:color="auto"/>
                  </w:divBdr>
                </w:div>
                <w:div w:id="1402555894">
                  <w:marLeft w:val="0"/>
                  <w:marRight w:val="0"/>
                  <w:marTop w:val="0"/>
                  <w:marBottom w:val="0"/>
                  <w:divBdr>
                    <w:top w:val="none" w:sz="0" w:space="0" w:color="auto"/>
                    <w:left w:val="none" w:sz="0" w:space="0" w:color="auto"/>
                    <w:bottom w:val="none" w:sz="0" w:space="0" w:color="auto"/>
                    <w:right w:val="none" w:sz="0" w:space="0" w:color="auto"/>
                  </w:divBdr>
                </w:div>
                <w:div w:id="2019848062">
                  <w:marLeft w:val="0"/>
                  <w:marRight w:val="0"/>
                  <w:marTop w:val="0"/>
                  <w:marBottom w:val="0"/>
                  <w:divBdr>
                    <w:top w:val="none" w:sz="0" w:space="0" w:color="auto"/>
                    <w:left w:val="none" w:sz="0" w:space="0" w:color="auto"/>
                    <w:bottom w:val="none" w:sz="0" w:space="0" w:color="auto"/>
                    <w:right w:val="none" w:sz="0" w:space="0" w:color="auto"/>
                  </w:divBdr>
                </w:div>
                <w:div w:id="1629890921">
                  <w:marLeft w:val="0"/>
                  <w:marRight w:val="0"/>
                  <w:marTop w:val="0"/>
                  <w:marBottom w:val="0"/>
                  <w:divBdr>
                    <w:top w:val="none" w:sz="0" w:space="0" w:color="auto"/>
                    <w:left w:val="none" w:sz="0" w:space="0" w:color="auto"/>
                    <w:bottom w:val="none" w:sz="0" w:space="0" w:color="auto"/>
                    <w:right w:val="none" w:sz="0" w:space="0" w:color="auto"/>
                  </w:divBdr>
                </w:div>
                <w:div w:id="787427339">
                  <w:marLeft w:val="0"/>
                  <w:marRight w:val="0"/>
                  <w:marTop w:val="0"/>
                  <w:marBottom w:val="0"/>
                  <w:divBdr>
                    <w:top w:val="none" w:sz="0" w:space="0" w:color="auto"/>
                    <w:left w:val="none" w:sz="0" w:space="0" w:color="auto"/>
                    <w:bottom w:val="none" w:sz="0" w:space="0" w:color="auto"/>
                    <w:right w:val="none" w:sz="0" w:space="0" w:color="auto"/>
                  </w:divBdr>
                </w:div>
                <w:div w:id="890114512">
                  <w:marLeft w:val="0"/>
                  <w:marRight w:val="0"/>
                  <w:marTop w:val="0"/>
                  <w:marBottom w:val="0"/>
                  <w:divBdr>
                    <w:top w:val="none" w:sz="0" w:space="0" w:color="auto"/>
                    <w:left w:val="none" w:sz="0" w:space="0" w:color="auto"/>
                    <w:bottom w:val="none" w:sz="0" w:space="0" w:color="auto"/>
                    <w:right w:val="none" w:sz="0" w:space="0" w:color="auto"/>
                  </w:divBdr>
                </w:div>
                <w:div w:id="16671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8193">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7B896-90B1-4484-B81F-322C6CFB8008}"/>
</file>

<file path=customXml/itemProps2.xml><?xml version="1.0" encoding="utf-8"?>
<ds:datastoreItem xmlns:ds="http://schemas.openxmlformats.org/officeDocument/2006/customXml" ds:itemID="{42DD2482-195C-46BC-9D3E-BC6F4798A27C}"/>
</file>

<file path=customXml/itemProps3.xml><?xml version="1.0" encoding="utf-8"?>
<ds:datastoreItem xmlns:ds="http://schemas.openxmlformats.org/officeDocument/2006/customXml" ds:itemID="{FDDAD098-F995-4F06-92AD-6D93311479B8}"/>
</file>

<file path=customXml/itemProps4.xml><?xml version="1.0" encoding="utf-8"?>
<ds:datastoreItem xmlns:ds="http://schemas.openxmlformats.org/officeDocument/2006/customXml" ds:itemID="{090BEBFE-DBE9-433F-82B4-E118E3FBDE2A}"/>
</file>

<file path=docProps/app.xml><?xml version="1.0" encoding="utf-8"?>
<Properties xmlns="http://schemas.openxmlformats.org/officeDocument/2006/extended-properties" xmlns:vt="http://schemas.openxmlformats.org/officeDocument/2006/docPropsVTypes">
  <Template>Normal.dotm</Template>
  <TotalTime>0</TotalTime>
  <Pages>1</Pages>
  <Words>6024</Words>
  <Characters>34339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40283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dcterms:created xsi:type="dcterms:W3CDTF">2018-07-03T13:45:00Z</dcterms:created>
  <dcterms:modified xsi:type="dcterms:W3CDTF">2018-07-03T13:45:00Z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74087/10</vt:lpwstr>
  </property>
  <property fmtid="{D5CDD505-2E9C-101B-9397-08002B2CF9AE}" pid="4" name="CASEID">
    <vt:lpwstr>688136</vt:lpwstr>
  </property>
  <property fmtid="{D5CDD505-2E9C-101B-9397-08002B2CF9AE}" pid="5" name="ContentTypeId">
    <vt:lpwstr>0x010100558EB02BDB9E204AB350EDD385B68E10</vt:lpwstr>
  </property>
</Properties>
</file>